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21D" w:rsidRDefault="00F5721D" w:rsidP="003A25C7">
      <w:pPr>
        <w:jc w:val="center"/>
        <w:rPr>
          <w:rFonts w:eastAsia="Calibri" w:cs="Times New Roman"/>
          <w:b/>
          <w:sz w:val="28"/>
          <w:szCs w:val="28"/>
        </w:rPr>
      </w:pPr>
      <w:bookmarkStart w:id="0" w:name="_GoBack"/>
      <w:bookmarkEnd w:id="0"/>
      <w:r>
        <w:rPr>
          <w:rFonts w:eastAsia="Calibri" w:cs="Times New Roman"/>
          <w:b/>
          <w:sz w:val="28"/>
          <w:szCs w:val="28"/>
        </w:rPr>
        <w:t>DRAFT AGENDA</w:t>
      </w:r>
    </w:p>
    <w:p w:rsidR="005B066A" w:rsidRPr="00F5721D" w:rsidRDefault="00F5721D" w:rsidP="003A25C7">
      <w:pPr>
        <w:jc w:val="center"/>
        <w:rPr>
          <w:rFonts w:eastAsia="Calibri" w:cs="Times New Roman"/>
          <w:b/>
          <w:sz w:val="28"/>
          <w:szCs w:val="28"/>
        </w:rPr>
      </w:pPr>
      <w:r w:rsidRPr="00F5721D">
        <w:rPr>
          <w:rFonts w:eastAsia="Calibri" w:cs="Times New Roman"/>
          <w:b/>
          <w:sz w:val="28"/>
          <w:szCs w:val="28"/>
        </w:rPr>
        <w:t>ARRL EXECUTIVE COMMITTEE MEETING</w:t>
      </w:r>
    </w:p>
    <w:p w:rsidR="003A25C7" w:rsidRPr="00F5721D" w:rsidRDefault="005B066A" w:rsidP="003A25C7">
      <w:pPr>
        <w:jc w:val="center"/>
        <w:rPr>
          <w:rFonts w:eastAsia="Calibri" w:cs="Times New Roman"/>
          <w:b/>
        </w:rPr>
      </w:pPr>
      <w:r w:rsidRPr="00F5721D">
        <w:rPr>
          <w:rFonts w:eastAsia="Calibri" w:cs="Times New Roman"/>
          <w:b/>
        </w:rPr>
        <w:t xml:space="preserve">8:30 AM </w:t>
      </w:r>
      <w:r w:rsidR="00D83651">
        <w:rPr>
          <w:rFonts w:eastAsia="Calibri" w:cs="Times New Roman"/>
          <w:b/>
        </w:rPr>
        <w:t>C</w:t>
      </w:r>
      <w:r w:rsidRPr="00F5721D">
        <w:rPr>
          <w:rFonts w:eastAsia="Calibri" w:cs="Times New Roman"/>
          <w:b/>
        </w:rPr>
        <w:t xml:space="preserve">DT </w:t>
      </w:r>
      <w:r w:rsidR="00D83651">
        <w:rPr>
          <w:rFonts w:eastAsia="Calibri" w:cs="Times New Roman"/>
          <w:b/>
        </w:rPr>
        <w:t>October 3</w:t>
      </w:r>
      <w:r w:rsidR="007D6657">
        <w:rPr>
          <w:rFonts w:eastAsia="Calibri" w:cs="Times New Roman"/>
          <w:b/>
        </w:rPr>
        <w:t>, 2015</w:t>
      </w:r>
      <w:r w:rsidR="003A25C7" w:rsidRPr="00F5721D">
        <w:rPr>
          <w:rFonts w:eastAsia="Calibri" w:cs="Times New Roman"/>
          <w:b/>
        </w:rPr>
        <w:t xml:space="preserve">, </w:t>
      </w:r>
      <w:r w:rsidR="00D83651">
        <w:rPr>
          <w:rFonts w:eastAsia="Calibri" w:cs="Times New Roman"/>
          <w:b/>
        </w:rPr>
        <w:t>Minneapolis</w:t>
      </w:r>
      <w:r w:rsidR="007D6657">
        <w:rPr>
          <w:rFonts w:eastAsia="Calibri" w:cs="Times New Roman"/>
          <w:b/>
        </w:rPr>
        <w:t xml:space="preserve"> Airport </w:t>
      </w:r>
      <w:r w:rsidR="00F93D12">
        <w:rPr>
          <w:rFonts w:eastAsia="Calibri" w:cs="Times New Roman"/>
          <w:b/>
        </w:rPr>
        <w:t xml:space="preserve">Marriott </w:t>
      </w:r>
    </w:p>
    <w:p w:rsidR="003A25C7" w:rsidRPr="00F5721D" w:rsidRDefault="003A25C7" w:rsidP="003A25C7">
      <w:pPr>
        <w:rPr>
          <w:rFonts w:eastAsia="Calibri" w:cs="Times New Roman"/>
        </w:rPr>
      </w:pPr>
    </w:p>
    <w:p w:rsidR="005B066A" w:rsidRDefault="005B066A" w:rsidP="003A25C7">
      <w:pPr>
        <w:rPr>
          <w:rFonts w:eastAsia="Calibri" w:cs="Times New Roman"/>
        </w:rPr>
      </w:pPr>
      <w:r>
        <w:rPr>
          <w:rFonts w:eastAsia="Calibri" w:cs="Times New Roman"/>
        </w:rPr>
        <w:t>1.</w:t>
      </w:r>
      <w:r>
        <w:rPr>
          <w:rFonts w:eastAsia="Calibri" w:cs="Times New Roman"/>
        </w:rPr>
        <w:tab/>
        <w:t>Consideration of agenda for the meeting</w:t>
      </w:r>
    </w:p>
    <w:p w:rsidR="005B066A" w:rsidRDefault="005B066A" w:rsidP="003A25C7">
      <w:pPr>
        <w:rPr>
          <w:rFonts w:eastAsia="Calibri" w:cs="Times New Roman"/>
        </w:rPr>
      </w:pPr>
    </w:p>
    <w:p w:rsidR="005B066A" w:rsidRDefault="005B066A" w:rsidP="003A25C7">
      <w:pPr>
        <w:rPr>
          <w:rFonts w:eastAsia="Calibri" w:cs="Times New Roman"/>
        </w:rPr>
      </w:pPr>
      <w:r>
        <w:rPr>
          <w:rFonts w:eastAsia="Calibri" w:cs="Times New Roman"/>
        </w:rPr>
        <w:t>2.</w:t>
      </w:r>
      <w:r>
        <w:rPr>
          <w:rFonts w:eastAsia="Calibri" w:cs="Times New Roman"/>
        </w:rPr>
        <w:tab/>
        <w:t>President’s report</w:t>
      </w:r>
    </w:p>
    <w:p w:rsidR="005B066A" w:rsidRDefault="005B066A" w:rsidP="003A25C7">
      <w:pPr>
        <w:rPr>
          <w:rFonts w:eastAsia="Calibri" w:cs="Times New Roman"/>
        </w:rPr>
      </w:pPr>
    </w:p>
    <w:p w:rsidR="005B066A" w:rsidRDefault="005B066A" w:rsidP="003A25C7">
      <w:pPr>
        <w:rPr>
          <w:rFonts w:eastAsia="Calibri" w:cs="Times New Roman"/>
        </w:rPr>
      </w:pPr>
      <w:r>
        <w:rPr>
          <w:rFonts w:eastAsia="Calibri" w:cs="Times New Roman"/>
        </w:rPr>
        <w:t>3.</w:t>
      </w:r>
      <w:r>
        <w:rPr>
          <w:rFonts w:eastAsia="Calibri" w:cs="Times New Roman"/>
        </w:rPr>
        <w:tab/>
        <w:t>Chief Executive Officer and Secretary’s report</w:t>
      </w:r>
    </w:p>
    <w:p w:rsidR="003A25C7" w:rsidRDefault="003A25C7" w:rsidP="003A25C7">
      <w:pPr>
        <w:rPr>
          <w:rFonts w:eastAsia="Calibri" w:cs="Times New Roman"/>
        </w:rPr>
      </w:pPr>
    </w:p>
    <w:p w:rsidR="00D10AC5" w:rsidRPr="00D10AC5" w:rsidRDefault="00D10AC5" w:rsidP="00D10AC5">
      <w:pPr>
        <w:rPr>
          <w:rFonts w:eastAsia="Calibri" w:cs="Times New Roman"/>
        </w:rPr>
      </w:pPr>
      <w:r w:rsidRPr="00D10AC5">
        <w:rPr>
          <w:rFonts w:eastAsia="Calibri" w:cs="Times New Roman"/>
        </w:rPr>
        <w:t>4.</w:t>
      </w:r>
      <w:r w:rsidRPr="00D10AC5">
        <w:rPr>
          <w:rFonts w:eastAsia="Calibri" w:cs="Times New Roman"/>
        </w:rPr>
        <w:tab/>
        <w:t>FCC/Regulatory items</w:t>
      </w:r>
    </w:p>
    <w:p w:rsidR="00D10AC5" w:rsidRPr="00D10AC5" w:rsidRDefault="00D10AC5" w:rsidP="00D10AC5">
      <w:pPr>
        <w:rPr>
          <w:rFonts w:eastAsia="Calibri" w:cs="Times New Roman"/>
        </w:rPr>
      </w:pPr>
    </w:p>
    <w:p w:rsidR="00D10AC5" w:rsidRDefault="00D10AC5" w:rsidP="00D10AC5">
      <w:pPr>
        <w:rPr>
          <w:rFonts w:eastAsia="Calibri" w:cs="Times New Roman"/>
        </w:rPr>
      </w:pPr>
      <w:r w:rsidRPr="00D10AC5">
        <w:rPr>
          <w:rFonts w:eastAsia="Calibri" w:cs="Times New Roman"/>
        </w:rPr>
        <w:tab/>
        <w:t>4.1.</w:t>
      </w:r>
      <w:r w:rsidRPr="00D10AC5">
        <w:rPr>
          <w:rFonts w:eastAsia="Calibri" w:cs="Times New Roman"/>
        </w:rPr>
        <w:tab/>
        <w:t>Action items</w:t>
      </w:r>
    </w:p>
    <w:p w:rsidR="00132CC4" w:rsidRPr="00D10AC5" w:rsidRDefault="00132CC4" w:rsidP="00D10AC5">
      <w:pPr>
        <w:rPr>
          <w:rFonts w:eastAsia="Calibri" w:cs="Times New Roman"/>
        </w:rPr>
      </w:pPr>
    </w:p>
    <w:p w:rsidR="00132CC4" w:rsidRPr="003A25C7" w:rsidRDefault="00132CC4" w:rsidP="00132CC4">
      <w:pPr>
        <w:ind w:firstLine="720"/>
        <w:rPr>
          <w:rFonts w:eastAsia="Times New Roman" w:cs="Times New Roman"/>
        </w:rPr>
      </w:pPr>
      <w:r>
        <w:rPr>
          <w:rFonts w:eastAsia="Times New Roman" w:cs="Times New Roman"/>
        </w:rPr>
        <w:tab/>
        <w:t>4.1.1</w:t>
      </w:r>
      <w:r w:rsidRPr="003A25C7">
        <w:rPr>
          <w:rFonts w:eastAsia="Times New Roman" w:cs="Times New Roman"/>
        </w:rPr>
        <w:t xml:space="preserve">. </w:t>
      </w:r>
      <w:r w:rsidRPr="003A25C7">
        <w:rPr>
          <w:rFonts w:eastAsia="Times New Roman" w:cs="Times New Roman"/>
        </w:rPr>
        <w:tab/>
      </w:r>
      <w:r>
        <w:rPr>
          <w:rFonts w:eastAsia="Times New Roman" w:cs="Times New Roman"/>
          <w:bCs/>
        </w:rPr>
        <w:t>Review and Discussion of Enforcement Strategy and Plan per Minute 39, July 2015 Board Meeting. (Consideration of draft plan to be circulated before EC meeting).</w:t>
      </w:r>
    </w:p>
    <w:p w:rsidR="00132CC4" w:rsidRPr="003A25C7" w:rsidRDefault="00132CC4" w:rsidP="00132CC4">
      <w:pPr>
        <w:rPr>
          <w:rFonts w:eastAsia="Times New Roman" w:cs="Times New Roman"/>
        </w:rPr>
      </w:pPr>
    </w:p>
    <w:p w:rsidR="00132CC4" w:rsidRDefault="00132CC4" w:rsidP="00132CC4">
      <w:pPr>
        <w:ind w:firstLine="720"/>
        <w:rPr>
          <w:rFonts w:eastAsia="Times New Roman" w:cs="Times New Roman"/>
          <w:bCs/>
        </w:rPr>
      </w:pPr>
      <w:r>
        <w:rPr>
          <w:rFonts w:eastAsia="Times New Roman" w:cs="Times New Roman"/>
          <w:bCs/>
        </w:rPr>
        <w:tab/>
        <w:t>4.1.2.</w:t>
      </w:r>
      <w:r>
        <w:rPr>
          <w:rFonts w:eastAsia="Times New Roman" w:cs="Times New Roman"/>
          <w:bCs/>
        </w:rPr>
        <w:tab/>
        <w:t>ET  Docket No. 15-99;</w:t>
      </w:r>
      <w:r w:rsidRPr="00B605E1">
        <w:rPr>
          <w:rFonts w:eastAsia="Times New Roman" w:cs="Times New Roman"/>
          <w:bCs/>
        </w:rPr>
        <w:t xml:space="preserve"> Amendment of Parts 1, 2, 15, 74, 78, 87, 90 &amp; 97 of the Commission's Rules Regarding Implementation of the Final Acts of the World </w:t>
      </w:r>
      <w:proofErr w:type="spellStart"/>
      <w:r w:rsidRPr="00B605E1">
        <w:rPr>
          <w:rFonts w:eastAsia="Times New Roman" w:cs="Times New Roman"/>
          <w:bCs/>
        </w:rPr>
        <w:t>Radiocommu</w:t>
      </w:r>
      <w:r>
        <w:rPr>
          <w:rFonts w:eastAsia="Times New Roman" w:cs="Times New Roman"/>
          <w:bCs/>
        </w:rPr>
        <w:t>nication</w:t>
      </w:r>
      <w:proofErr w:type="spellEnd"/>
      <w:r>
        <w:rPr>
          <w:rFonts w:eastAsia="Times New Roman" w:cs="Times New Roman"/>
          <w:bCs/>
        </w:rPr>
        <w:t xml:space="preserve"> Conference (Geneva 2012</w:t>
      </w:r>
      <w:r w:rsidRPr="00B605E1">
        <w:rPr>
          <w:rFonts w:eastAsia="Times New Roman" w:cs="Times New Roman"/>
          <w:bCs/>
        </w:rPr>
        <w:t>), Other Allocation Issues, and Related Rule Updates; (135.7-137.8 kHz</w:t>
      </w:r>
      <w:r>
        <w:rPr>
          <w:rFonts w:eastAsia="Times New Roman" w:cs="Times New Roman"/>
          <w:bCs/>
        </w:rPr>
        <w:t xml:space="preserve"> service rules; </w:t>
      </w:r>
      <w:r w:rsidRPr="00080F87">
        <w:rPr>
          <w:rFonts w:eastAsia="Times New Roman" w:cs="Times New Roman"/>
          <w:bCs/>
        </w:rPr>
        <w:t>472-479 kHz</w:t>
      </w:r>
      <w:r>
        <w:rPr>
          <w:rFonts w:eastAsia="Times New Roman" w:cs="Times New Roman"/>
          <w:bCs/>
        </w:rPr>
        <w:t xml:space="preserve"> allocation and service rules; and</w:t>
      </w:r>
      <w:r w:rsidRPr="00B605E1">
        <w:rPr>
          <w:rFonts w:eastAsia="Times New Roman" w:cs="Times New Roman"/>
          <w:bCs/>
        </w:rPr>
        <w:t xml:space="preserve"> </w:t>
      </w:r>
      <w:r>
        <w:rPr>
          <w:rFonts w:eastAsia="Times New Roman" w:cs="Times New Roman"/>
          <w:bCs/>
        </w:rPr>
        <w:t>rules for</w:t>
      </w:r>
      <w:r w:rsidRPr="00B605E1">
        <w:rPr>
          <w:rFonts w:eastAsia="Times New Roman" w:cs="Times New Roman"/>
          <w:bCs/>
        </w:rPr>
        <w:t xml:space="preserve"> 1900-2000 kHz primary allocation</w:t>
      </w:r>
      <w:r>
        <w:rPr>
          <w:rFonts w:eastAsia="Times New Roman" w:cs="Times New Roman"/>
          <w:bCs/>
        </w:rPr>
        <w:t xml:space="preserve"> upgrade and ocean fishing buoys; review of s</w:t>
      </w:r>
      <w:r w:rsidRPr="00080F87">
        <w:rPr>
          <w:rFonts w:eastAsia="Times New Roman" w:cs="Times New Roman"/>
          <w:bCs/>
        </w:rPr>
        <w:t xml:space="preserve">tatus of </w:t>
      </w:r>
      <w:r>
        <w:rPr>
          <w:rFonts w:eastAsia="Times New Roman" w:cs="Times New Roman"/>
          <w:bCs/>
        </w:rPr>
        <w:t>proceeding; comments and reply comments filed by non-amateur parties, and determination of immediate further strategies).</w:t>
      </w:r>
    </w:p>
    <w:p w:rsidR="00132CC4" w:rsidRDefault="00132CC4" w:rsidP="00132CC4">
      <w:pPr>
        <w:ind w:firstLine="720"/>
        <w:rPr>
          <w:rFonts w:eastAsia="Times New Roman" w:cs="Times New Roman"/>
          <w:bCs/>
        </w:rPr>
      </w:pPr>
    </w:p>
    <w:p w:rsidR="00132CC4" w:rsidRDefault="00132CC4" w:rsidP="00132CC4">
      <w:pPr>
        <w:ind w:firstLine="720"/>
        <w:rPr>
          <w:rFonts w:eastAsia="Times New Roman" w:cs="Times New Roman"/>
          <w:bCs/>
        </w:rPr>
      </w:pPr>
      <w:r>
        <w:rPr>
          <w:rFonts w:eastAsia="Times New Roman" w:cs="Times New Roman"/>
          <w:bCs/>
        </w:rPr>
        <w:tab/>
        <w:t>4.1.3.</w:t>
      </w:r>
      <w:r w:rsidRPr="00B91A90">
        <w:rPr>
          <w:rFonts w:eastAsia="Times New Roman" w:cs="Times New Roman"/>
          <w:bCs/>
        </w:rPr>
        <w:t xml:space="preserve"> </w:t>
      </w:r>
      <w:r w:rsidRPr="00080F87">
        <w:rPr>
          <w:rFonts w:eastAsia="Times New Roman" w:cs="Times New Roman"/>
          <w:bCs/>
        </w:rPr>
        <w:t>ET Docket No. 15-170; Equipment Authorization Rule Change Proposals</w:t>
      </w:r>
      <w:r>
        <w:rPr>
          <w:rFonts w:eastAsia="Times New Roman" w:cs="Times New Roman"/>
          <w:bCs/>
        </w:rPr>
        <w:t>. (Determination of Policy for Comments due October 9, 2015 relative to</w:t>
      </w:r>
      <w:r w:rsidRPr="003769BF">
        <w:rPr>
          <w:rFonts w:eastAsia="Calibri" w:cs="Times New Roman"/>
        </w:rPr>
        <w:t xml:space="preserve"> </w:t>
      </w:r>
      <w:r w:rsidRPr="003769BF">
        <w:rPr>
          <w:rFonts w:eastAsia="Times New Roman" w:cs="Times New Roman"/>
          <w:bCs/>
        </w:rPr>
        <w:t>labeling of Part 15 and Part 18 devices</w:t>
      </w:r>
      <w:r>
        <w:rPr>
          <w:rFonts w:eastAsia="Times New Roman" w:cs="Times New Roman"/>
          <w:bCs/>
        </w:rPr>
        <w:t xml:space="preserve"> with interference potential if used in residential areas and the effect of proposed rules on the modification of Wi-Fi modems for Amateur adaptation and use).</w:t>
      </w:r>
    </w:p>
    <w:p w:rsidR="00D10AC5" w:rsidRDefault="00D10AC5" w:rsidP="00D10AC5">
      <w:pPr>
        <w:rPr>
          <w:rFonts w:eastAsia="Calibri" w:cs="Times New Roman"/>
        </w:rPr>
      </w:pPr>
    </w:p>
    <w:p w:rsidR="00C05128" w:rsidRDefault="00C05128" w:rsidP="00C05128">
      <w:pPr>
        <w:ind w:firstLine="720"/>
        <w:rPr>
          <w:rFonts w:eastAsia="Times New Roman" w:cs="Times New Roman"/>
          <w:bCs/>
        </w:rPr>
      </w:pPr>
      <w:r>
        <w:rPr>
          <w:rFonts w:eastAsia="Times New Roman" w:cs="Times New Roman"/>
          <w:bCs/>
        </w:rPr>
        <w:tab/>
        <w:t xml:space="preserve">4.1.4. Preparation and filing of a petition for rulemaking to effect changes in the 80 and 75-meter RTTY/data and phone/image </w:t>
      </w:r>
      <w:proofErr w:type="spellStart"/>
      <w:r>
        <w:rPr>
          <w:rFonts w:eastAsia="Times New Roman" w:cs="Times New Roman"/>
          <w:bCs/>
        </w:rPr>
        <w:t>subbands</w:t>
      </w:r>
      <w:proofErr w:type="spellEnd"/>
      <w:r>
        <w:rPr>
          <w:rFonts w:eastAsia="Times New Roman" w:cs="Times New Roman"/>
          <w:bCs/>
        </w:rPr>
        <w:t>; to restore 80-meter frequency privileges for certain license classes; to shift the 80-meter automatically controlled digital station band segment; and to authorize Novice and Technician class licensees to utilize RTTY/data emissions in certain bands. (Discussion of status and timing of preparation of Petition called for by Minute 32 of the July, 2015 Board Meeting.</w:t>
      </w:r>
      <w:r>
        <w:rPr>
          <w:rFonts w:eastAsia="Times New Roman" w:cs="Times New Roman"/>
          <w:bCs/>
        </w:rPr>
        <w:t>)</w:t>
      </w:r>
    </w:p>
    <w:p w:rsidR="00C05128" w:rsidRPr="003A25C7" w:rsidRDefault="00C05128" w:rsidP="00D10AC5">
      <w:pPr>
        <w:rPr>
          <w:rFonts w:eastAsia="Calibri" w:cs="Times New Roman"/>
        </w:rPr>
      </w:pPr>
    </w:p>
    <w:p w:rsidR="00D10AC5" w:rsidRPr="00A10DF2" w:rsidRDefault="00D10AC5" w:rsidP="00D10AC5">
      <w:pPr>
        <w:rPr>
          <w:rFonts w:eastAsia="Times New Roman" w:cs="Times New Roman"/>
          <w:bCs/>
        </w:rPr>
      </w:pPr>
      <w:r w:rsidRPr="003A25C7">
        <w:rPr>
          <w:rFonts w:eastAsia="Times New Roman" w:cs="Times New Roman"/>
          <w:bCs/>
        </w:rPr>
        <w:tab/>
      </w:r>
      <w:r w:rsidRPr="00A10DF2">
        <w:rPr>
          <w:rFonts w:eastAsia="Times New Roman" w:cs="Times New Roman"/>
          <w:bCs/>
        </w:rPr>
        <w:t>4.2.</w:t>
      </w:r>
      <w:r w:rsidRPr="00A10DF2">
        <w:rPr>
          <w:rFonts w:eastAsia="Times New Roman" w:cs="Times New Roman"/>
          <w:bCs/>
        </w:rPr>
        <w:tab/>
        <w:t>Status update/reporting items and/or FCC submissions since J</w:t>
      </w:r>
      <w:r w:rsidR="00D83651">
        <w:rPr>
          <w:rFonts w:eastAsia="Times New Roman" w:cs="Times New Roman"/>
          <w:bCs/>
        </w:rPr>
        <w:t>ul</w:t>
      </w:r>
      <w:r w:rsidRPr="00A10DF2">
        <w:rPr>
          <w:rFonts w:eastAsia="Times New Roman" w:cs="Times New Roman"/>
          <w:bCs/>
        </w:rPr>
        <w:t>y 2015 Board Meeting</w:t>
      </w:r>
    </w:p>
    <w:p w:rsidR="00D10AC5" w:rsidRDefault="00D10AC5" w:rsidP="00D10AC5">
      <w:pPr>
        <w:rPr>
          <w:rFonts w:eastAsia="Times New Roman" w:cs="Times New Roman"/>
        </w:rPr>
      </w:pPr>
    </w:p>
    <w:p w:rsidR="00132CC4" w:rsidRPr="00B20692" w:rsidRDefault="00132CC4" w:rsidP="00132CC4">
      <w:pPr>
        <w:ind w:firstLine="1440"/>
        <w:rPr>
          <w:rFonts w:eastAsia="Times New Roman" w:cs="Times New Roman"/>
          <w:bCs/>
        </w:rPr>
      </w:pPr>
      <w:r>
        <w:rPr>
          <w:rFonts w:eastAsia="Times New Roman" w:cs="Times New Roman"/>
          <w:bCs/>
        </w:rPr>
        <w:t>4.2</w:t>
      </w:r>
      <w:r w:rsidRPr="00A04DA1">
        <w:rPr>
          <w:rFonts w:eastAsia="Times New Roman" w:cs="Times New Roman"/>
          <w:bCs/>
        </w:rPr>
        <w:t>.1.</w:t>
      </w:r>
      <w:r w:rsidRPr="00A04DA1">
        <w:rPr>
          <w:rFonts w:eastAsia="Times New Roman" w:cs="Times New Roman"/>
          <w:bCs/>
        </w:rPr>
        <w:tab/>
      </w:r>
      <w:r w:rsidRPr="00B20692">
        <w:rPr>
          <w:rFonts w:eastAsia="Times New Roman" w:cs="Times New Roman"/>
          <w:bCs/>
        </w:rPr>
        <w:t>RF Lighting Device Complaints to FCC (Status of efforts to cause FCC enforcement of overpower RF lighting ballast devices;</w:t>
      </w:r>
      <w:r>
        <w:rPr>
          <w:rFonts w:eastAsia="Times New Roman" w:cs="Times New Roman"/>
          <w:bCs/>
        </w:rPr>
        <w:t xml:space="preserve"> report on filed and planned future complaints aimed at ballast importers and retailers and large consumer retailers of RF lighting devices intended for industrial applications only</w:t>
      </w:r>
      <w:r w:rsidRPr="00B20692">
        <w:rPr>
          <w:rFonts w:eastAsia="Times New Roman" w:cs="Times New Roman"/>
          <w:bCs/>
        </w:rPr>
        <w:t>).</w:t>
      </w:r>
    </w:p>
    <w:p w:rsidR="00132CC4" w:rsidRPr="00A04DA1" w:rsidRDefault="00132CC4" w:rsidP="00132CC4">
      <w:pPr>
        <w:rPr>
          <w:rFonts w:eastAsia="Times New Roman" w:cs="Times New Roman"/>
          <w:bCs/>
        </w:rPr>
      </w:pPr>
    </w:p>
    <w:p w:rsidR="00132CC4" w:rsidRPr="00B20692" w:rsidRDefault="00132CC4" w:rsidP="00132CC4">
      <w:pPr>
        <w:ind w:firstLine="720"/>
        <w:rPr>
          <w:rFonts w:eastAsia="Times New Roman" w:cs="Times New Roman"/>
          <w:bCs/>
        </w:rPr>
      </w:pPr>
      <w:r>
        <w:rPr>
          <w:rFonts w:eastAsia="Times New Roman" w:cs="Times New Roman"/>
        </w:rPr>
        <w:lastRenderedPageBreak/>
        <w:tab/>
        <w:t>4.2.2</w:t>
      </w:r>
      <w:r w:rsidRPr="003A25C7">
        <w:rPr>
          <w:rFonts w:eastAsia="Times New Roman" w:cs="Times New Roman"/>
        </w:rPr>
        <w:t>.</w:t>
      </w:r>
      <w:r>
        <w:rPr>
          <w:rFonts w:eastAsia="Times New Roman" w:cs="Times New Roman"/>
        </w:rPr>
        <w:t xml:space="preserve"> </w:t>
      </w:r>
      <w:r w:rsidRPr="00B20692">
        <w:rPr>
          <w:rFonts w:eastAsia="Times New Roman" w:cs="Times New Roman"/>
        </w:rPr>
        <w:tab/>
      </w:r>
      <w:r w:rsidRPr="00B20692">
        <w:rPr>
          <w:rFonts w:eastAsia="Times New Roman" w:cs="Times New Roman"/>
          <w:bCs/>
        </w:rPr>
        <w:t>ET Docket 13-213, Terrestrial Use of the 2473-2495 MHz Band for Low-Power Mobile Broadband Networks; Amendments to Rules for the Ancillary Terrestrial Component of Mobile Satellite Service Systems</w:t>
      </w:r>
      <w:r>
        <w:rPr>
          <w:rFonts w:eastAsia="Times New Roman" w:cs="Times New Roman"/>
          <w:bCs/>
        </w:rPr>
        <w:t xml:space="preserve"> (update on status of proceeding)</w:t>
      </w:r>
      <w:r w:rsidRPr="00B20692">
        <w:rPr>
          <w:rFonts w:eastAsia="Times New Roman" w:cs="Times New Roman"/>
          <w:bCs/>
        </w:rPr>
        <w:t>.</w:t>
      </w:r>
    </w:p>
    <w:p w:rsidR="00132CC4" w:rsidRPr="00EC4D8D" w:rsidRDefault="00132CC4" w:rsidP="00132CC4">
      <w:pPr>
        <w:ind w:firstLine="720"/>
        <w:rPr>
          <w:rFonts w:eastAsia="Times New Roman" w:cs="Times New Roman"/>
        </w:rPr>
      </w:pPr>
    </w:p>
    <w:p w:rsidR="00132CC4" w:rsidRDefault="00132CC4" w:rsidP="00132CC4">
      <w:pPr>
        <w:rPr>
          <w:rFonts w:eastAsia="Times New Roman" w:cs="Times New Roman"/>
        </w:rPr>
      </w:pPr>
      <w:r>
        <w:rPr>
          <w:rFonts w:eastAsia="Times New Roman" w:cs="Times New Roman"/>
        </w:rPr>
        <w:tab/>
      </w:r>
      <w:r>
        <w:rPr>
          <w:rFonts w:eastAsia="Times New Roman" w:cs="Times New Roman"/>
        </w:rPr>
        <w:tab/>
        <w:t>4.2.3</w:t>
      </w:r>
      <w:r w:rsidRPr="000E2121">
        <w:rPr>
          <w:rFonts w:eastAsia="Times New Roman" w:cs="Times New Roman"/>
        </w:rPr>
        <w:t>.</w:t>
      </w:r>
      <w:r>
        <w:rPr>
          <w:rFonts w:eastAsia="Times New Roman" w:cs="Times New Roman"/>
        </w:rPr>
        <w:tab/>
        <w:t xml:space="preserve">ET Docket 14-177, Provision of Mobile Services in the Bands above 24 GHz (status of proceeding and update on anticipated timing of resolution). </w:t>
      </w:r>
    </w:p>
    <w:p w:rsidR="00132CC4" w:rsidRDefault="00132CC4" w:rsidP="00132CC4">
      <w:pPr>
        <w:rPr>
          <w:rFonts w:eastAsia="Times New Roman" w:cs="Times New Roman"/>
        </w:rPr>
      </w:pPr>
    </w:p>
    <w:p w:rsidR="00132CC4" w:rsidRDefault="00132CC4" w:rsidP="00132CC4">
      <w:pPr>
        <w:rPr>
          <w:rFonts w:eastAsia="Times New Roman" w:cs="Times New Roman"/>
          <w:bCs/>
        </w:rPr>
      </w:pPr>
      <w:r>
        <w:rPr>
          <w:rFonts w:eastAsia="Times New Roman" w:cs="Times New Roman"/>
        </w:rPr>
        <w:tab/>
      </w:r>
      <w:r>
        <w:rPr>
          <w:rFonts w:eastAsia="Times New Roman" w:cs="Times New Roman"/>
        </w:rPr>
        <w:tab/>
        <w:t xml:space="preserve">4.2.4. </w:t>
      </w:r>
      <w:r w:rsidRPr="009641DA">
        <w:rPr>
          <w:rFonts w:eastAsia="Times New Roman" w:cs="Times New Roman"/>
          <w:bCs/>
        </w:rPr>
        <w:t>RM-11731; AT&amp;T Mobility Spectrum LLC et al. Proposed Modification of  FCC Part 27 Wireless Communications Services at 2305-2320 MHz and 2345-2360 MHz (Comments filed September 22, 2014</w:t>
      </w:r>
      <w:r>
        <w:rPr>
          <w:rFonts w:eastAsia="Times New Roman" w:cs="Times New Roman"/>
          <w:bCs/>
        </w:rPr>
        <w:t>; proceeding terminated at AT&amp;T Request by FCC Letter dated February 13, 2015</w:t>
      </w:r>
      <w:r w:rsidRPr="009641DA">
        <w:rPr>
          <w:rFonts w:eastAsia="Times New Roman" w:cs="Times New Roman"/>
          <w:bCs/>
        </w:rPr>
        <w:t xml:space="preserve">). </w:t>
      </w:r>
    </w:p>
    <w:p w:rsidR="00132CC4" w:rsidRDefault="00132CC4" w:rsidP="00132CC4">
      <w:pPr>
        <w:rPr>
          <w:rFonts w:eastAsia="Times New Roman" w:cs="Times New Roman"/>
          <w:bCs/>
        </w:rPr>
      </w:pPr>
    </w:p>
    <w:p w:rsidR="00132CC4" w:rsidRPr="009641DA" w:rsidRDefault="00132CC4" w:rsidP="00132CC4">
      <w:pPr>
        <w:rPr>
          <w:rFonts w:eastAsia="Times New Roman" w:cs="Times New Roman"/>
          <w:bCs/>
        </w:rPr>
      </w:pPr>
      <w:r>
        <w:rPr>
          <w:rFonts w:eastAsia="Times New Roman" w:cs="Times New Roman"/>
          <w:bCs/>
        </w:rPr>
        <w:tab/>
      </w:r>
      <w:r>
        <w:rPr>
          <w:rFonts w:eastAsia="Times New Roman" w:cs="Times New Roman"/>
          <w:bCs/>
        </w:rPr>
        <w:tab/>
        <w:t xml:space="preserve">4.2.5. WT Docket 14-176, RECCO AB Request for Waiver of Location and Monitoring Service Rules to Permit Certification and Use of an Avalanche Rescue System (update on status of proceeding; ARRL comments filed December 5, 2014; no other comments or reply comments filed in proceeding). </w:t>
      </w:r>
    </w:p>
    <w:p w:rsidR="00132CC4" w:rsidRDefault="00132CC4" w:rsidP="00D10AC5">
      <w:pPr>
        <w:rPr>
          <w:rFonts w:eastAsia="Times New Roman" w:cs="Times New Roman"/>
        </w:rPr>
      </w:pPr>
    </w:p>
    <w:p w:rsidR="00D10AC5" w:rsidRPr="00A10DF2" w:rsidRDefault="00D10AC5" w:rsidP="00D10AC5">
      <w:pPr>
        <w:rPr>
          <w:rFonts w:eastAsia="Times New Roman" w:cs="Times New Roman"/>
        </w:rPr>
      </w:pPr>
      <w:r w:rsidRPr="00B91A90">
        <w:rPr>
          <w:rFonts w:eastAsia="Times New Roman" w:cs="Times New Roman"/>
        </w:rPr>
        <w:tab/>
      </w:r>
      <w:r w:rsidRPr="00A10DF2">
        <w:rPr>
          <w:rFonts w:eastAsia="Times New Roman" w:cs="Times New Roman"/>
        </w:rPr>
        <w:t>4.3.</w:t>
      </w:r>
      <w:r w:rsidRPr="00A10DF2">
        <w:rPr>
          <w:rFonts w:eastAsia="Times New Roman" w:cs="Times New Roman"/>
        </w:rPr>
        <w:tab/>
        <w:t>Open items with no FCC action since J</w:t>
      </w:r>
      <w:r w:rsidR="00D83651">
        <w:rPr>
          <w:rFonts w:eastAsia="Times New Roman" w:cs="Times New Roman"/>
        </w:rPr>
        <w:t>ul</w:t>
      </w:r>
      <w:r w:rsidRPr="00A10DF2">
        <w:rPr>
          <w:rFonts w:eastAsia="Times New Roman" w:cs="Times New Roman"/>
        </w:rPr>
        <w:t>y 2015 Board Meeting</w:t>
      </w:r>
    </w:p>
    <w:p w:rsidR="00D10AC5" w:rsidRDefault="00D10AC5" w:rsidP="00D10AC5">
      <w:pPr>
        <w:rPr>
          <w:rFonts w:eastAsia="Times New Roman" w:cs="Times New Roman"/>
        </w:rPr>
      </w:pPr>
    </w:p>
    <w:p w:rsidR="00132CC4" w:rsidRPr="00465F7B" w:rsidRDefault="00132CC4" w:rsidP="00132CC4">
      <w:pPr>
        <w:ind w:firstLine="1440"/>
        <w:rPr>
          <w:rFonts w:eastAsia="Times New Roman" w:cs="Times New Roman"/>
          <w:bCs/>
        </w:rPr>
      </w:pPr>
      <w:r w:rsidRPr="00B20692">
        <w:rPr>
          <w:rFonts w:eastAsia="Times New Roman" w:cs="Times New Roman"/>
          <w:bCs/>
        </w:rPr>
        <w:t>4.3.1.</w:t>
      </w:r>
      <w:r>
        <w:rPr>
          <w:rFonts w:eastAsia="Times New Roman" w:cs="Times New Roman"/>
          <w:bCs/>
        </w:rPr>
        <w:tab/>
      </w:r>
      <w:r w:rsidRPr="00465F7B">
        <w:rPr>
          <w:rFonts w:eastAsia="Times New Roman" w:cs="Times New Roman"/>
          <w:bCs/>
        </w:rPr>
        <w:t xml:space="preserve">RM-11708; ARRL Petition for Rule Making to delete restrictions on symbol rates for data communications and to establish a 2.8 kilohertz maximum occupied bandwidth for data emissions below 29.7 </w:t>
      </w:r>
      <w:proofErr w:type="spellStart"/>
      <w:r w:rsidRPr="00465F7B">
        <w:rPr>
          <w:rFonts w:eastAsia="Times New Roman" w:cs="Times New Roman"/>
          <w:bCs/>
        </w:rPr>
        <w:t>MHz.</w:t>
      </w:r>
      <w:proofErr w:type="spellEnd"/>
    </w:p>
    <w:p w:rsidR="00132CC4" w:rsidRDefault="00132CC4" w:rsidP="00132CC4">
      <w:pPr>
        <w:ind w:firstLine="1440"/>
        <w:rPr>
          <w:rFonts w:eastAsia="Times New Roman" w:cs="Times New Roman"/>
        </w:rPr>
      </w:pPr>
    </w:p>
    <w:p w:rsidR="00132CC4" w:rsidRPr="00B20692" w:rsidRDefault="00132CC4" w:rsidP="00132CC4">
      <w:pPr>
        <w:rPr>
          <w:rFonts w:eastAsia="Times New Roman" w:cs="Times New Roman"/>
        </w:rPr>
      </w:pPr>
      <w:r>
        <w:rPr>
          <w:rFonts w:eastAsia="Times New Roman" w:cs="Times New Roman"/>
        </w:rPr>
        <w:tab/>
      </w:r>
      <w:r>
        <w:rPr>
          <w:rFonts w:eastAsia="Times New Roman" w:cs="Times New Roman"/>
        </w:rPr>
        <w:tab/>
      </w:r>
      <w:r w:rsidRPr="00B20692">
        <w:rPr>
          <w:rFonts w:eastAsia="Times New Roman" w:cs="Times New Roman"/>
          <w:bCs/>
        </w:rPr>
        <w:t>4.3.2.</w:t>
      </w:r>
      <w:r w:rsidR="006D72D9">
        <w:rPr>
          <w:rFonts w:eastAsia="Times New Roman" w:cs="Times New Roman"/>
          <w:bCs/>
        </w:rPr>
        <w:t xml:space="preserve"> </w:t>
      </w:r>
      <w:r w:rsidRPr="00B20692">
        <w:rPr>
          <w:rFonts w:eastAsia="Times New Roman" w:cs="Times New Roman"/>
        </w:rPr>
        <w:t>ET Docket 13-49; Revision of Part 15 of the Commission’s Rules to permit unlicensed National Information Infrastructure (U-NII) Devices in the 5 GHz Band. (Comments filed May 28, 2013 re rules governing Part 15 devices and Wi-Fi in the 5850-5925 MHz band; update on status of proceeding).</w:t>
      </w:r>
    </w:p>
    <w:p w:rsidR="00132CC4" w:rsidRPr="00465F7B" w:rsidRDefault="00132CC4" w:rsidP="00132CC4">
      <w:pPr>
        <w:rPr>
          <w:rFonts w:eastAsia="Times New Roman" w:cs="Times New Roman"/>
        </w:rPr>
      </w:pPr>
    </w:p>
    <w:p w:rsidR="00132CC4" w:rsidRPr="00B20692" w:rsidRDefault="00132CC4" w:rsidP="00132CC4">
      <w:pPr>
        <w:rPr>
          <w:rFonts w:eastAsia="Times New Roman" w:cs="Times New Roman"/>
        </w:rPr>
      </w:pPr>
      <w:r>
        <w:rPr>
          <w:rFonts w:eastAsia="Times New Roman" w:cs="Times New Roman"/>
        </w:rPr>
        <w:tab/>
      </w:r>
      <w:r>
        <w:rPr>
          <w:rFonts w:eastAsia="Times New Roman" w:cs="Times New Roman"/>
        </w:rPr>
        <w:tab/>
        <w:t xml:space="preserve">4.3.3. </w:t>
      </w:r>
      <w:r w:rsidRPr="00B20692">
        <w:rPr>
          <w:rFonts w:eastAsia="Times New Roman" w:cs="Times New Roman"/>
        </w:rPr>
        <w:t>Pave Paws Radar and Amateur Interaction, 70 cm. (Recent contacts from Air Force re possible upgrades of Eglin or other Florida AFB radar systems and effect on 70 cm repeater networks in Florida).</w:t>
      </w:r>
    </w:p>
    <w:p w:rsidR="00132CC4" w:rsidRDefault="00132CC4" w:rsidP="00132CC4">
      <w:pPr>
        <w:rPr>
          <w:rFonts w:eastAsia="Times New Roman" w:cs="Times New Roman"/>
        </w:rPr>
      </w:pPr>
    </w:p>
    <w:p w:rsidR="00132CC4" w:rsidRPr="009641DA" w:rsidRDefault="00132CC4" w:rsidP="00132CC4">
      <w:pPr>
        <w:rPr>
          <w:rFonts w:eastAsia="Times New Roman" w:cs="Times New Roman"/>
          <w:bCs/>
        </w:rPr>
      </w:pPr>
      <w:r>
        <w:rPr>
          <w:rFonts w:eastAsia="Times New Roman" w:cs="Times New Roman"/>
          <w:bCs/>
        </w:rPr>
        <w:tab/>
      </w:r>
      <w:r>
        <w:rPr>
          <w:rFonts w:eastAsia="Times New Roman" w:cs="Times New Roman"/>
          <w:bCs/>
        </w:rPr>
        <w:tab/>
        <w:t xml:space="preserve">4.3.4. </w:t>
      </w:r>
      <w:r w:rsidRPr="009641DA">
        <w:rPr>
          <w:rFonts w:eastAsia="Times New Roman" w:cs="Times New Roman"/>
          <w:bCs/>
        </w:rPr>
        <w:t>General Docket 14-25; Public Comment on FCC Report on Process Reform (Comments in response to Public Notice filed March 31, 2014)</w:t>
      </w:r>
    </w:p>
    <w:p w:rsidR="00132CC4" w:rsidRDefault="00132CC4" w:rsidP="00132CC4">
      <w:pPr>
        <w:rPr>
          <w:rFonts w:eastAsia="Times New Roman" w:cs="Times New Roman"/>
          <w:bCs/>
        </w:rPr>
      </w:pPr>
    </w:p>
    <w:p w:rsidR="00132CC4" w:rsidRPr="009641DA" w:rsidRDefault="00132CC4" w:rsidP="00132CC4">
      <w:pPr>
        <w:rPr>
          <w:rFonts w:eastAsia="Times New Roman" w:cs="Times New Roman"/>
          <w:bCs/>
        </w:rPr>
      </w:pPr>
      <w:r>
        <w:rPr>
          <w:rFonts w:eastAsia="Times New Roman" w:cs="Times New Roman"/>
          <w:bCs/>
        </w:rPr>
        <w:tab/>
      </w:r>
      <w:r>
        <w:rPr>
          <w:rFonts w:eastAsia="Times New Roman" w:cs="Times New Roman"/>
          <w:bCs/>
        </w:rPr>
        <w:tab/>
        <w:t>4.3.5.</w:t>
      </w:r>
      <w:r>
        <w:rPr>
          <w:rFonts w:eastAsia="Times New Roman" w:cs="Times New Roman"/>
          <w:bCs/>
        </w:rPr>
        <w:tab/>
      </w:r>
      <w:r w:rsidRPr="009641DA">
        <w:rPr>
          <w:rFonts w:eastAsia="Times New Roman" w:cs="Times New Roman"/>
          <w:bCs/>
        </w:rPr>
        <w:t xml:space="preserve">FEMA proposal for Modification of FCC Rules for licensing of FEMA stations and use of Special Call Signs Denoting FEMA (akin to </w:t>
      </w:r>
      <w:proofErr w:type="spellStart"/>
      <w:r w:rsidRPr="009641DA">
        <w:rPr>
          <w:rFonts w:eastAsia="Times New Roman" w:cs="Times New Roman"/>
          <w:bCs/>
        </w:rPr>
        <w:t>Milrec</w:t>
      </w:r>
      <w:proofErr w:type="spellEnd"/>
      <w:r w:rsidRPr="009641DA">
        <w:rPr>
          <w:rFonts w:eastAsia="Times New Roman" w:cs="Times New Roman"/>
          <w:bCs/>
        </w:rPr>
        <w:t xml:space="preserve"> or Club Station Licensing).</w:t>
      </w:r>
    </w:p>
    <w:p w:rsidR="00132CC4" w:rsidRDefault="00132CC4" w:rsidP="00132CC4">
      <w:pPr>
        <w:ind w:firstLine="720"/>
        <w:rPr>
          <w:rFonts w:eastAsia="Times New Roman" w:cs="Times New Roman"/>
        </w:rPr>
      </w:pPr>
    </w:p>
    <w:p w:rsidR="00132CC4" w:rsidRDefault="00132CC4" w:rsidP="00132CC4">
      <w:pPr>
        <w:ind w:firstLine="720"/>
        <w:rPr>
          <w:rFonts w:eastAsia="Times New Roman" w:cs="Times New Roman"/>
          <w:bCs/>
        </w:rPr>
      </w:pPr>
      <w:r>
        <w:rPr>
          <w:rFonts w:eastAsia="Times New Roman" w:cs="Times New Roman"/>
        </w:rPr>
        <w:tab/>
        <w:t>4.3.6</w:t>
      </w:r>
      <w:r w:rsidRPr="00BB2586">
        <w:rPr>
          <w:rFonts w:eastAsia="Times New Roman" w:cs="Times New Roman"/>
        </w:rPr>
        <w:t>.</w:t>
      </w:r>
      <w:r w:rsidRPr="00BB2586">
        <w:rPr>
          <w:rFonts w:eastAsia="Times New Roman" w:cs="Times New Roman"/>
        </w:rPr>
        <w:tab/>
      </w:r>
      <w:r w:rsidRPr="003A25C7">
        <w:rPr>
          <w:rFonts w:eastAsia="Times New Roman" w:cs="Times New Roman"/>
          <w:bCs/>
        </w:rPr>
        <w:t xml:space="preserve">WT Dockets 03-187 and </w:t>
      </w:r>
      <w:r w:rsidRPr="003A25C7">
        <w:rPr>
          <w:rFonts w:eastAsia="Times New Roman" w:cs="Times New Roman"/>
        </w:rPr>
        <w:t>08-61</w:t>
      </w:r>
      <w:r w:rsidRPr="003A25C7">
        <w:rPr>
          <w:rFonts w:eastAsia="Times New Roman" w:cs="Times New Roman"/>
          <w:bCs/>
        </w:rPr>
        <w:t>; Effects of Communications Towers on Migratory Birds (No action since March, 2012 FCC report).</w:t>
      </w:r>
    </w:p>
    <w:p w:rsidR="00132CC4" w:rsidRDefault="00132CC4" w:rsidP="00132CC4">
      <w:pPr>
        <w:ind w:firstLine="720"/>
        <w:rPr>
          <w:rFonts w:eastAsia="Times New Roman" w:cs="Times New Roman"/>
          <w:bCs/>
        </w:rPr>
      </w:pPr>
    </w:p>
    <w:p w:rsidR="00132CC4" w:rsidRPr="00320744" w:rsidRDefault="00132CC4" w:rsidP="00132CC4">
      <w:pPr>
        <w:ind w:firstLine="720"/>
        <w:rPr>
          <w:rFonts w:eastAsia="Times New Roman" w:cs="Times New Roman"/>
          <w:bCs/>
        </w:rPr>
      </w:pPr>
      <w:r>
        <w:rPr>
          <w:rFonts w:eastAsia="Times New Roman" w:cs="Times New Roman"/>
          <w:bCs/>
        </w:rPr>
        <w:tab/>
        <w:t>4.3.7.</w:t>
      </w:r>
      <w:r>
        <w:rPr>
          <w:rFonts w:eastAsia="Times New Roman" w:cs="Times New Roman"/>
          <w:bCs/>
        </w:rPr>
        <w:tab/>
      </w:r>
      <w:r w:rsidRPr="00320744">
        <w:rPr>
          <w:rFonts w:eastAsia="Times New Roman" w:cs="Times New Roman"/>
          <w:bCs/>
        </w:rPr>
        <w:t>ET Docket 14-99, Model City for Demonstrating and Evaluating Advanced Sharing Technologies (ARRL Comments Filed August 29, 2014).</w:t>
      </w:r>
    </w:p>
    <w:p w:rsidR="00132CC4" w:rsidRPr="003A25C7" w:rsidRDefault="00132CC4" w:rsidP="00132CC4">
      <w:pPr>
        <w:ind w:firstLine="720"/>
        <w:rPr>
          <w:rFonts w:eastAsia="Times New Roman" w:cs="Times New Roman"/>
        </w:rPr>
      </w:pPr>
    </w:p>
    <w:p w:rsidR="00132CC4" w:rsidRDefault="00132CC4" w:rsidP="00132CC4">
      <w:r>
        <w:lastRenderedPageBreak/>
        <w:tab/>
      </w:r>
      <w:r>
        <w:tab/>
        <w:t>4.3.8.</w:t>
      </w:r>
      <w:r>
        <w:tab/>
      </w:r>
      <w:r w:rsidRPr="003A25C7">
        <w:t>ET Docket 13-84; Reexamination of RF exposure regulations. (FCC proposal to subject the Amateur Service to a "general exemption" table for conducting a routine environmental review of a proposed new or modified station configuration; exemption criteria as the preemptive standard as against more stringent state or local criteria.</w:t>
      </w:r>
      <w:r>
        <w:t xml:space="preserve"> ARRL Comments filed 9/3/2013 and Ex Parte to WTB made on 5/13/2014</w:t>
      </w:r>
      <w:r w:rsidRPr="003A25C7">
        <w:t>)</w:t>
      </w:r>
      <w:r>
        <w:t>.</w:t>
      </w:r>
      <w:r w:rsidRPr="003A25C7">
        <w:t> </w:t>
      </w:r>
    </w:p>
    <w:p w:rsidR="00132CC4" w:rsidRDefault="00132CC4" w:rsidP="00132CC4"/>
    <w:p w:rsidR="00132CC4" w:rsidRPr="00EC4D8D" w:rsidRDefault="00132CC4" w:rsidP="00132CC4">
      <w:r>
        <w:tab/>
      </w:r>
      <w:r>
        <w:tab/>
        <w:t>4.3.9.</w:t>
      </w:r>
      <w:r>
        <w:tab/>
      </w:r>
      <w:r w:rsidRPr="00EC4D8D">
        <w:t>ET Docket 13-101; Receiver Performance Standards; Technological Advisory Council White Paper (</w:t>
      </w:r>
      <w:r>
        <w:t xml:space="preserve">ARRL </w:t>
      </w:r>
      <w:r w:rsidRPr="00EC4D8D">
        <w:t>Comments filed July 22, 2013).</w:t>
      </w:r>
    </w:p>
    <w:p w:rsidR="00132CC4" w:rsidRPr="00C832CE" w:rsidRDefault="00132CC4" w:rsidP="00132CC4"/>
    <w:p w:rsidR="00132CC4" w:rsidRDefault="00132CC4" w:rsidP="00132CC4">
      <w:pPr>
        <w:rPr>
          <w:bCs/>
        </w:rPr>
      </w:pPr>
      <w:r>
        <w:rPr>
          <w:bCs/>
        </w:rPr>
        <w:tab/>
      </w:r>
      <w:r>
        <w:rPr>
          <w:bCs/>
        </w:rPr>
        <w:tab/>
        <w:t>4.3.10.</w:t>
      </w:r>
      <w:r>
        <w:rPr>
          <w:bCs/>
        </w:rPr>
        <w:tab/>
      </w:r>
      <w:r w:rsidRPr="00F479DB">
        <w:rPr>
          <w:bCs/>
        </w:rPr>
        <w:t xml:space="preserve">WP Docket 08-63, </w:t>
      </w:r>
      <w:proofErr w:type="spellStart"/>
      <w:r w:rsidRPr="00F479DB">
        <w:rPr>
          <w:bCs/>
        </w:rPr>
        <w:t>ReconRobotics</w:t>
      </w:r>
      <w:proofErr w:type="spellEnd"/>
      <w:r w:rsidRPr="00F479DB">
        <w:rPr>
          <w:bCs/>
        </w:rPr>
        <w:t xml:space="preserve">, Inc. Video and Audio Surveillance System at 430-450 </w:t>
      </w:r>
      <w:proofErr w:type="spellStart"/>
      <w:r w:rsidRPr="00F479DB">
        <w:rPr>
          <w:bCs/>
        </w:rPr>
        <w:t>MHz</w:t>
      </w:r>
      <w:r>
        <w:rPr>
          <w:bCs/>
        </w:rPr>
        <w:t>.</w:t>
      </w:r>
      <w:proofErr w:type="spellEnd"/>
      <w:r>
        <w:rPr>
          <w:bCs/>
        </w:rPr>
        <w:t xml:space="preserve"> </w:t>
      </w:r>
    </w:p>
    <w:p w:rsidR="00132CC4" w:rsidRDefault="00132CC4" w:rsidP="00132CC4">
      <w:pPr>
        <w:rPr>
          <w:bCs/>
        </w:rPr>
      </w:pPr>
    </w:p>
    <w:p w:rsidR="00132CC4" w:rsidRDefault="00132CC4" w:rsidP="00132CC4">
      <w:pPr>
        <w:rPr>
          <w:bCs/>
        </w:rPr>
      </w:pPr>
      <w:r>
        <w:rPr>
          <w:bCs/>
        </w:rPr>
        <w:tab/>
      </w:r>
      <w:r>
        <w:rPr>
          <w:bCs/>
        </w:rPr>
        <w:tab/>
        <w:t>4.3.11. MITRE Corporation Experimental License WH2XCI, File No. 1062-EX-PL-2014, granted October 1, 2014.</w:t>
      </w:r>
    </w:p>
    <w:p w:rsidR="00132CC4" w:rsidRDefault="00132CC4" w:rsidP="00132CC4">
      <w:pPr>
        <w:rPr>
          <w:bCs/>
        </w:rPr>
      </w:pPr>
    </w:p>
    <w:p w:rsidR="00132CC4" w:rsidRDefault="00132CC4" w:rsidP="00132CC4">
      <w:pPr>
        <w:rPr>
          <w:bCs/>
        </w:rPr>
      </w:pPr>
      <w:r>
        <w:rPr>
          <w:bCs/>
        </w:rPr>
        <w:tab/>
      </w:r>
      <w:r>
        <w:rPr>
          <w:bCs/>
        </w:rPr>
        <w:tab/>
        <w:t>4.3.12. WT Docket No. 15-81, Amendment of FCC Rules Concerning Electronically Stored Application and Licensing Data. (ARRL Comments filed June 16, 2015 in response to FCC proposal to delete historical licensee address data in ULS for privacy reasons).</w:t>
      </w:r>
    </w:p>
    <w:p w:rsidR="00D10AC5" w:rsidRDefault="00D10AC5" w:rsidP="00D83651">
      <w:r>
        <w:rPr>
          <w:bCs/>
        </w:rPr>
        <w:tab/>
      </w:r>
      <w:r>
        <w:rPr>
          <w:bCs/>
        </w:rPr>
        <w:tab/>
      </w:r>
    </w:p>
    <w:p w:rsidR="00D10AC5" w:rsidRPr="00C832CE" w:rsidRDefault="00D10AC5" w:rsidP="00D10AC5">
      <w:pPr>
        <w:rPr>
          <w:rFonts w:eastAsia="Calibri" w:cs="Times New Roman"/>
        </w:rPr>
      </w:pPr>
      <w:r w:rsidRPr="00C832CE">
        <w:rPr>
          <w:rFonts w:eastAsia="Calibri" w:cs="Times New Roman"/>
        </w:rPr>
        <w:t>5.</w:t>
      </w:r>
      <w:r w:rsidRPr="00C832CE">
        <w:rPr>
          <w:rFonts w:eastAsia="Calibri" w:cs="Times New Roman"/>
        </w:rPr>
        <w:tab/>
        <w:t>Local antenna/RFI cases</w:t>
      </w:r>
    </w:p>
    <w:p w:rsidR="00D10AC5" w:rsidRPr="00C832CE" w:rsidRDefault="00D10AC5" w:rsidP="00D10AC5">
      <w:pPr>
        <w:rPr>
          <w:rFonts w:eastAsia="Calibri" w:cs="Times New Roman"/>
        </w:rPr>
      </w:pPr>
    </w:p>
    <w:p w:rsidR="00132CC4" w:rsidRDefault="00132CC4" w:rsidP="00132CC4">
      <w:pPr>
        <w:ind w:firstLine="720"/>
        <w:rPr>
          <w:rFonts w:eastAsia="Times New Roman" w:cs="Times New Roman"/>
        </w:rPr>
      </w:pPr>
      <w:r>
        <w:rPr>
          <w:rFonts w:eastAsia="Times New Roman" w:cs="Times New Roman"/>
        </w:rPr>
        <w:t>5.1.</w:t>
      </w:r>
      <w:r>
        <w:rPr>
          <w:rFonts w:eastAsia="Times New Roman" w:cs="Times New Roman"/>
        </w:rPr>
        <w:tab/>
        <w:t xml:space="preserve">Jeffrey </w:t>
      </w:r>
      <w:proofErr w:type="spellStart"/>
      <w:r>
        <w:rPr>
          <w:rFonts w:eastAsia="Times New Roman" w:cs="Times New Roman"/>
        </w:rPr>
        <w:t>DePolo</w:t>
      </w:r>
      <w:proofErr w:type="spellEnd"/>
      <w:r>
        <w:rPr>
          <w:rFonts w:eastAsia="Times New Roman" w:cs="Times New Roman"/>
        </w:rPr>
        <w:t xml:space="preserve"> v. Board of Supervisors of </w:t>
      </w:r>
      <w:proofErr w:type="spellStart"/>
      <w:r>
        <w:rPr>
          <w:rFonts w:eastAsia="Times New Roman" w:cs="Times New Roman"/>
        </w:rPr>
        <w:t>Treddyfrin</w:t>
      </w:r>
      <w:proofErr w:type="spellEnd"/>
      <w:r>
        <w:rPr>
          <w:rFonts w:eastAsia="Times New Roman" w:cs="Times New Roman"/>
        </w:rPr>
        <w:t xml:space="preserve"> Township et al. (status of 3</w:t>
      </w:r>
      <w:r w:rsidRPr="003B0465">
        <w:rPr>
          <w:rFonts w:eastAsia="Times New Roman" w:cs="Times New Roman"/>
          <w:vertAlign w:val="superscript"/>
        </w:rPr>
        <w:t>rd</w:t>
      </w:r>
      <w:r>
        <w:rPr>
          <w:rFonts w:eastAsia="Times New Roman" w:cs="Times New Roman"/>
        </w:rPr>
        <w:t xml:space="preserve"> Circuit United States Court of Appeals consideration of USDC dismissal of Amateur PRB-1 complaint for failure to state a claim upon which relief may be granted; Amicus Brief filed for ARRL August 17, 2015).</w:t>
      </w:r>
    </w:p>
    <w:p w:rsidR="00132CC4" w:rsidRPr="00C832CE" w:rsidRDefault="00132CC4" w:rsidP="00132CC4">
      <w:pPr>
        <w:ind w:firstLine="720"/>
        <w:rPr>
          <w:rFonts w:eastAsia="Times New Roman" w:cs="Times New Roman"/>
        </w:rPr>
      </w:pPr>
    </w:p>
    <w:p w:rsidR="00132CC4" w:rsidRPr="000E2121" w:rsidRDefault="00132CC4" w:rsidP="00132CC4">
      <w:pPr>
        <w:ind w:firstLine="720"/>
        <w:rPr>
          <w:rFonts w:eastAsia="Times New Roman" w:cs="Times New Roman"/>
        </w:rPr>
      </w:pPr>
      <w:r w:rsidRPr="00C832CE">
        <w:rPr>
          <w:rFonts w:eastAsia="Times New Roman" w:cs="Times New Roman"/>
        </w:rPr>
        <w:t>5.2.</w:t>
      </w:r>
      <w:r w:rsidRPr="00C832CE">
        <w:rPr>
          <w:rFonts w:eastAsia="Times New Roman" w:cs="Times New Roman"/>
        </w:rPr>
        <w:tab/>
      </w:r>
      <w:r w:rsidRPr="00B20692">
        <w:rPr>
          <w:rFonts w:eastAsia="Times New Roman" w:cs="Times New Roman"/>
        </w:rPr>
        <w:t xml:space="preserve">Myles </w:t>
      </w:r>
      <w:proofErr w:type="spellStart"/>
      <w:r w:rsidRPr="00B20692">
        <w:rPr>
          <w:rFonts w:eastAsia="Times New Roman" w:cs="Times New Roman"/>
        </w:rPr>
        <w:t>Landstein</w:t>
      </w:r>
      <w:proofErr w:type="spellEnd"/>
      <w:r w:rsidRPr="00B20692">
        <w:rPr>
          <w:rFonts w:eastAsia="Times New Roman" w:cs="Times New Roman"/>
        </w:rPr>
        <w:t xml:space="preserve">, N2EHG v. Town of </w:t>
      </w:r>
      <w:proofErr w:type="spellStart"/>
      <w:r w:rsidRPr="00B20692">
        <w:rPr>
          <w:rFonts w:eastAsia="Times New Roman" w:cs="Times New Roman"/>
        </w:rPr>
        <w:t>LaGrangeville</w:t>
      </w:r>
      <w:proofErr w:type="spellEnd"/>
      <w:r w:rsidRPr="00B20692">
        <w:rPr>
          <w:rFonts w:eastAsia="Times New Roman" w:cs="Times New Roman"/>
        </w:rPr>
        <w:t>, NY. (Status Report</w:t>
      </w:r>
      <w:r>
        <w:rPr>
          <w:rFonts w:eastAsia="Times New Roman" w:cs="Times New Roman"/>
        </w:rPr>
        <w:t xml:space="preserve"> on</w:t>
      </w:r>
      <w:r w:rsidRPr="00B20692">
        <w:rPr>
          <w:rFonts w:eastAsia="Times New Roman" w:cs="Times New Roman"/>
        </w:rPr>
        <w:t xml:space="preserve"> Complaint vs. Lagrangeville</w:t>
      </w:r>
      <w:r>
        <w:rPr>
          <w:rFonts w:eastAsia="Times New Roman" w:cs="Times New Roman"/>
        </w:rPr>
        <w:t>; cost prohibitions and Amateur antennas as customary accessory use of residential real property</w:t>
      </w:r>
      <w:r w:rsidRPr="00B20692">
        <w:rPr>
          <w:rFonts w:eastAsia="Times New Roman" w:cs="Times New Roman"/>
        </w:rPr>
        <w:t>)</w:t>
      </w:r>
      <w:r>
        <w:rPr>
          <w:rFonts w:eastAsia="Times New Roman" w:cs="Times New Roman"/>
        </w:rPr>
        <w:t>.</w:t>
      </w:r>
      <w:r w:rsidRPr="000E2121">
        <w:rPr>
          <w:rFonts w:eastAsia="Times New Roman" w:cs="Times New Roman"/>
        </w:rPr>
        <w:t xml:space="preserve">  </w:t>
      </w:r>
    </w:p>
    <w:p w:rsidR="00D10AC5" w:rsidRPr="00C832CE" w:rsidRDefault="00D10AC5" w:rsidP="00D10AC5">
      <w:pPr>
        <w:rPr>
          <w:rFonts w:eastAsia="Calibri" w:cs="Times New Roman"/>
        </w:rPr>
      </w:pPr>
    </w:p>
    <w:p w:rsidR="00D10AC5" w:rsidRPr="000E2121" w:rsidRDefault="00D10AC5" w:rsidP="00D10AC5">
      <w:pPr>
        <w:rPr>
          <w:rFonts w:eastAsia="Calibri" w:cs="Times New Roman"/>
        </w:rPr>
      </w:pPr>
      <w:r w:rsidRPr="00C832CE">
        <w:rPr>
          <w:rFonts w:eastAsia="Calibri" w:cs="Times New Roman"/>
        </w:rPr>
        <w:t>6.</w:t>
      </w:r>
      <w:r w:rsidRPr="00C832CE">
        <w:rPr>
          <w:rFonts w:eastAsia="Calibri" w:cs="Times New Roman"/>
        </w:rPr>
        <w:tab/>
        <w:t>Other legal matters</w:t>
      </w:r>
      <w:r>
        <w:rPr>
          <w:rFonts w:eastAsia="Calibri" w:cs="Times New Roman"/>
        </w:rPr>
        <w:t xml:space="preserve"> (None known at present)</w:t>
      </w:r>
    </w:p>
    <w:p w:rsidR="00D10AC5" w:rsidRPr="00C832CE" w:rsidRDefault="00D10AC5" w:rsidP="00D10AC5">
      <w:pPr>
        <w:ind w:left="720"/>
        <w:rPr>
          <w:rFonts w:eastAsia="Times New Roman" w:cs="Times New Roman"/>
        </w:rPr>
      </w:pPr>
    </w:p>
    <w:p w:rsidR="00D10AC5" w:rsidRPr="00C832CE" w:rsidRDefault="00D10AC5" w:rsidP="00D10AC5">
      <w:pPr>
        <w:rPr>
          <w:rFonts w:eastAsia="Times New Roman" w:cs="Times New Roman"/>
        </w:rPr>
      </w:pPr>
      <w:r w:rsidRPr="00C832CE">
        <w:rPr>
          <w:rFonts w:eastAsia="Times New Roman" w:cs="Times New Roman"/>
        </w:rPr>
        <w:t>7.</w:t>
      </w:r>
      <w:r w:rsidRPr="00C832CE">
        <w:rPr>
          <w:rFonts w:eastAsia="Times New Roman" w:cs="Times New Roman"/>
        </w:rPr>
        <w:tab/>
        <w:t>Legislative matters</w:t>
      </w:r>
    </w:p>
    <w:p w:rsidR="00D10AC5" w:rsidRPr="00C832CE" w:rsidRDefault="00D10AC5" w:rsidP="00D10AC5">
      <w:pPr>
        <w:rPr>
          <w:rFonts w:eastAsia="Times New Roman" w:cs="Times New Roman"/>
        </w:rPr>
      </w:pPr>
    </w:p>
    <w:p w:rsidR="00132CC4" w:rsidRPr="003B0465" w:rsidRDefault="00132CC4" w:rsidP="00132CC4">
      <w:pPr>
        <w:ind w:firstLine="720"/>
        <w:rPr>
          <w:rFonts w:eastAsia="Times New Roman" w:cs="Times New Roman"/>
          <w:bCs/>
        </w:rPr>
      </w:pPr>
      <w:r w:rsidRPr="00C832CE">
        <w:rPr>
          <w:rFonts w:eastAsia="Times New Roman" w:cs="Times New Roman"/>
        </w:rPr>
        <w:t xml:space="preserve">7.1 </w:t>
      </w:r>
      <w:r w:rsidRPr="00C832CE">
        <w:rPr>
          <w:rFonts w:eastAsia="Times New Roman" w:cs="Times New Roman"/>
        </w:rPr>
        <w:tab/>
        <w:t xml:space="preserve">Status of Congressional advocacy </w:t>
      </w:r>
      <w:r w:rsidRPr="00C832CE">
        <w:rPr>
          <w:rFonts w:eastAsia="Times New Roman" w:cs="Times New Roman"/>
          <w:bCs/>
        </w:rPr>
        <w:t>of</w:t>
      </w:r>
      <w:r>
        <w:rPr>
          <w:rFonts w:eastAsia="Times New Roman" w:cs="Times New Roman"/>
          <w:bCs/>
        </w:rPr>
        <w:t xml:space="preserve"> H.R. 1301 and S. 1685,</w:t>
      </w:r>
      <w:r w:rsidRPr="00C832CE">
        <w:rPr>
          <w:rFonts w:eastAsia="Times New Roman" w:cs="Times New Roman"/>
          <w:bCs/>
        </w:rPr>
        <w:t xml:space="preserve"> the “</w:t>
      </w:r>
      <w:r>
        <w:rPr>
          <w:rFonts w:eastAsia="Times New Roman" w:cs="Times New Roman"/>
          <w:bCs/>
        </w:rPr>
        <w:t xml:space="preserve">Regulatory Parity </w:t>
      </w:r>
      <w:r w:rsidRPr="00C832CE">
        <w:rPr>
          <w:rFonts w:eastAsia="Times New Roman" w:cs="Times New Roman"/>
          <w:bCs/>
        </w:rPr>
        <w:t>Act of 201</w:t>
      </w:r>
      <w:r>
        <w:rPr>
          <w:rFonts w:eastAsia="Times New Roman" w:cs="Times New Roman"/>
          <w:bCs/>
        </w:rPr>
        <w:t>5</w:t>
      </w:r>
      <w:r w:rsidRPr="00C832CE">
        <w:rPr>
          <w:rFonts w:eastAsia="Times New Roman" w:cs="Times New Roman"/>
          <w:bCs/>
        </w:rPr>
        <w:t xml:space="preserve">” </w:t>
      </w:r>
      <w:r>
        <w:rPr>
          <w:rFonts w:eastAsia="Times New Roman" w:cs="Times New Roman"/>
          <w:bCs/>
        </w:rPr>
        <w:t>(R</w:t>
      </w:r>
      <w:r w:rsidRPr="00C832CE">
        <w:rPr>
          <w:rFonts w:eastAsia="Times New Roman" w:cs="Times New Roman"/>
          <w:bCs/>
        </w:rPr>
        <w:t>eport on advocacy efforts</w:t>
      </w:r>
      <w:r>
        <w:rPr>
          <w:rFonts w:eastAsia="Times New Roman" w:cs="Times New Roman"/>
          <w:bCs/>
        </w:rPr>
        <w:t xml:space="preserve"> to date in House and Senate and strategies for post-markup passage of Bills)</w:t>
      </w:r>
      <w:r w:rsidRPr="00C832CE">
        <w:rPr>
          <w:rFonts w:eastAsia="Times New Roman" w:cs="Times New Roman"/>
          <w:bCs/>
        </w:rPr>
        <w:t>.</w:t>
      </w:r>
    </w:p>
    <w:p w:rsidR="00677BC5" w:rsidRDefault="00677BC5" w:rsidP="003A25C7">
      <w:pPr>
        <w:rPr>
          <w:rFonts w:eastAsia="Calibri" w:cs="Times New Roman"/>
        </w:rPr>
      </w:pPr>
    </w:p>
    <w:p w:rsidR="008B1ADA" w:rsidRDefault="008B1ADA">
      <w:r>
        <w:t>8.</w:t>
      </w:r>
      <w:r>
        <w:tab/>
        <w:t>International matters</w:t>
      </w:r>
    </w:p>
    <w:p w:rsidR="008B1ADA" w:rsidRDefault="008B1ADA"/>
    <w:p w:rsidR="007D6657" w:rsidRDefault="00D83651">
      <w:r>
        <w:tab/>
        <w:t>8.1.</w:t>
      </w:r>
      <w:r>
        <w:tab/>
      </w:r>
      <w:r w:rsidR="00132CC4">
        <w:t>Status of WRC-15 agenda items potentially affecting the Amateur Services</w:t>
      </w:r>
    </w:p>
    <w:p w:rsidR="00132CC4" w:rsidRDefault="00132CC4"/>
    <w:p w:rsidR="00132CC4" w:rsidRDefault="00132CC4">
      <w:r>
        <w:tab/>
        <w:t>8.2.</w:t>
      </w:r>
      <w:r>
        <w:tab/>
        <w:t>Report on IARU Region 2 Executive Committee meeting (Mr. Bellows)</w:t>
      </w:r>
    </w:p>
    <w:p w:rsidR="00D83651" w:rsidRDefault="00D83651"/>
    <w:p w:rsidR="008B1ADA" w:rsidRDefault="008B1ADA">
      <w:r>
        <w:t>9.</w:t>
      </w:r>
      <w:r>
        <w:tab/>
        <w:t>Organizational matters</w:t>
      </w:r>
    </w:p>
    <w:p w:rsidR="008B1ADA" w:rsidRDefault="008B1ADA"/>
    <w:p w:rsidR="00F93D12" w:rsidRDefault="008B1ADA" w:rsidP="007D6657">
      <w:r>
        <w:lastRenderedPageBreak/>
        <w:tab/>
        <w:t>9.1.</w:t>
      </w:r>
      <w:r>
        <w:tab/>
      </w:r>
      <w:r w:rsidR="00D83651">
        <w:t>R</w:t>
      </w:r>
      <w:r w:rsidR="00A10DF2">
        <w:t>ev</w:t>
      </w:r>
      <w:r w:rsidR="007D6657">
        <w:t>iew of Standing Orders</w:t>
      </w:r>
    </w:p>
    <w:p w:rsidR="007D6657" w:rsidRDefault="007D6657" w:rsidP="007D6657"/>
    <w:p w:rsidR="00F93D12" w:rsidRDefault="00F93D12" w:rsidP="00F93D12">
      <w:pPr>
        <w:ind w:firstLine="720"/>
      </w:pPr>
      <w:r>
        <w:t>9.2.</w:t>
      </w:r>
      <w:r>
        <w:tab/>
      </w:r>
      <w:r w:rsidR="00954AE9">
        <w:t>ARRL/Red Cross MOU</w:t>
      </w:r>
      <w:r w:rsidR="00A10DF2">
        <w:t xml:space="preserve"> renewal</w:t>
      </w:r>
    </w:p>
    <w:p w:rsidR="00F93D12" w:rsidRDefault="00F93D12" w:rsidP="00F93D12">
      <w:pPr>
        <w:ind w:firstLine="720"/>
      </w:pPr>
    </w:p>
    <w:p w:rsidR="006D72D9" w:rsidRDefault="006D72D9" w:rsidP="00F93D12">
      <w:pPr>
        <w:ind w:firstLine="720"/>
      </w:pPr>
      <w:r>
        <w:t>9.3.</w:t>
      </w:r>
      <w:r>
        <w:tab/>
        <w:t xml:space="preserve">ARRL </w:t>
      </w:r>
      <w:r>
        <w:rPr>
          <w:i/>
        </w:rPr>
        <w:t xml:space="preserve">Repeater Directory </w:t>
      </w:r>
      <w:r>
        <w:t>and relations with frequency coordinators</w:t>
      </w:r>
    </w:p>
    <w:p w:rsidR="00981637" w:rsidRDefault="00981637" w:rsidP="00F93D12">
      <w:pPr>
        <w:ind w:firstLine="720"/>
      </w:pPr>
    </w:p>
    <w:p w:rsidR="00981637" w:rsidRDefault="00981637" w:rsidP="00F93D12">
      <w:pPr>
        <w:ind w:firstLine="720"/>
      </w:pPr>
      <w:r>
        <w:t>9.4.</w:t>
      </w:r>
      <w:r>
        <w:tab/>
        <w:t>Article 6 voting procedure</w:t>
      </w:r>
    </w:p>
    <w:p w:rsidR="00981637" w:rsidRDefault="00981637" w:rsidP="00F93D12">
      <w:pPr>
        <w:ind w:firstLine="720"/>
      </w:pPr>
    </w:p>
    <w:p w:rsidR="00981637" w:rsidRPr="006D72D9" w:rsidRDefault="00981637" w:rsidP="00F93D12">
      <w:pPr>
        <w:ind w:firstLine="720"/>
      </w:pPr>
      <w:r>
        <w:t>9.5.</w:t>
      </w:r>
      <w:r>
        <w:tab/>
      </w:r>
      <w:proofErr w:type="spellStart"/>
      <w:r>
        <w:t>Handiham</w:t>
      </w:r>
      <w:proofErr w:type="spellEnd"/>
      <w:r>
        <w:t xml:space="preserve"> program</w:t>
      </w:r>
    </w:p>
    <w:p w:rsidR="006D72D9" w:rsidRDefault="006D72D9" w:rsidP="00F93D12">
      <w:pPr>
        <w:ind w:firstLine="720"/>
      </w:pPr>
    </w:p>
    <w:p w:rsidR="008B1ADA" w:rsidRDefault="008B1ADA">
      <w:r>
        <w:t>10.</w:t>
      </w:r>
      <w:r>
        <w:tab/>
      </w:r>
      <w:r w:rsidR="00E47133">
        <w:t>Review of pending action items including work in progress by committees</w:t>
      </w:r>
    </w:p>
    <w:p w:rsidR="00E47133" w:rsidRDefault="00E47133"/>
    <w:p w:rsidR="00E47133" w:rsidRDefault="00E47133">
      <w:r>
        <w:t>11.</w:t>
      </w:r>
      <w:r>
        <w:tab/>
        <w:t>Approval of conventions</w:t>
      </w:r>
    </w:p>
    <w:p w:rsidR="00E47133" w:rsidRDefault="00E47133"/>
    <w:p w:rsidR="00E47133" w:rsidRDefault="00E47133">
      <w:r>
        <w:t>12.</w:t>
      </w:r>
      <w:r>
        <w:tab/>
        <w:t>Affiliation of clubs</w:t>
      </w:r>
    </w:p>
    <w:p w:rsidR="00E47133" w:rsidRDefault="00E47133"/>
    <w:p w:rsidR="00E47133" w:rsidRDefault="00E47133">
      <w:r>
        <w:t>13.</w:t>
      </w:r>
      <w:r>
        <w:tab/>
        <w:t>Recognition of new Life Members</w:t>
      </w:r>
    </w:p>
    <w:p w:rsidR="00E47133" w:rsidRDefault="00E47133"/>
    <w:p w:rsidR="00E47133" w:rsidRDefault="00E47133">
      <w:r>
        <w:t>1</w:t>
      </w:r>
      <w:r w:rsidR="00361B1F">
        <w:t>4</w:t>
      </w:r>
      <w:r>
        <w:t>.</w:t>
      </w:r>
      <w:r>
        <w:tab/>
        <w:t>Other business and adjournment</w:t>
      </w:r>
    </w:p>
    <w:p w:rsidR="00E47133" w:rsidRPr="00046C15" w:rsidRDefault="00E47133"/>
    <w:sectPr w:rsidR="00E47133" w:rsidRPr="00046C15" w:rsidSect="00685D4F">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D4F" w:rsidRDefault="00685D4F" w:rsidP="00685D4F">
      <w:r>
        <w:separator/>
      </w:r>
    </w:p>
  </w:endnote>
  <w:endnote w:type="continuationSeparator" w:id="0">
    <w:p w:rsidR="00685D4F" w:rsidRDefault="00685D4F" w:rsidP="0068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D4F" w:rsidRDefault="00685D4F" w:rsidP="00685D4F">
      <w:r>
        <w:separator/>
      </w:r>
    </w:p>
  </w:footnote>
  <w:footnote w:type="continuationSeparator" w:id="0">
    <w:p w:rsidR="00685D4F" w:rsidRDefault="00685D4F" w:rsidP="00685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D4F" w:rsidRDefault="00685D4F">
    <w:pPr>
      <w:pStyle w:val="Header"/>
    </w:pPr>
    <w:r>
      <w:t>Draft Agenda, ARRL EC Meeting</w:t>
    </w:r>
    <w:r>
      <w:ptab w:relativeTo="margin" w:alignment="center" w:leader="none"/>
    </w:r>
    <w:r>
      <w:t xml:space="preserve">Page </w:t>
    </w:r>
    <w:r>
      <w:fldChar w:fldCharType="begin"/>
    </w:r>
    <w:r>
      <w:instrText xml:space="preserve"> PAGE   \* MERGEFORMAT </w:instrText>
    </w:r>
    <w:r>
      <w:fldChar w:fldCharType="separate"/>
    </w:r>
    <w:r w:rsidR="00981637">
      <w:rPr>
        <w:noProof/>
      </w:rPr>
      <w:t>4</w:t>
    </w:r>
    <w:r>
      <w:rPr>
        <w:noProof/>
      </w:rPr>
      <w:fldChar w:fldCharType="end"/>
    </w:r>
    <w:r>
      <w:ptab w:relativeTo="margin" w:alignment="right" w:leader="none"/>
    </w:r>
    <w:r w:rsidR="00D83651">
      <w:t>MSP,</w:t>
    </w:r>
    <w:r w:rsidR="00C0172C">
      <w:t xml:space="preserve"> </w:t>
    </w:r>
    <w:r w:rsidR="00D83651">
      <w:t>October 3</w:t>
    </w:r>
    <w:r>
      <w:t>, 201</w:t>
    </w:r>
    <w:r w:rsidR="007D6657">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C7"/>
    <w:rsid w:val="00046C15"/>
    <w:rsid w:val="00083BFB"/>
    <w:rsid w:val="0008490C"/>
    <w:rsid w:val="00132CC4"/>
    <w:rsid w:val="001C1BF4"/>
    <w:rsid w:val="001D00D1"/>
    <w:rsid w:val="00260323"/>
    <w:rsid w:val="00361B1F"/>
    <w:rsid w:val="003A25C7"/>
    <w:rsid w:val="004302E7"/>
    <w:rsid w:val="004D1A3F"/>
    <w:rsid w:val="00521174"/>
    <w:rsid w:val="00554D80"/>
    <w:rsid w:val="00556E8A"/>
    <w:rsid w:val="005B066A"/>
    <w:rsid w:val="00677BC5"/>
    <w:rsid w:val="00685D4F"/>
    <w:rsid w:val="006D60C4"/>
    <w:rsid w:val="006D72D9"/>
    <w:rsid w:val="0075735B"/>
    <w:rsid w:val="007D6657"/>
    <w:rsid w:val="007E0F96"/>
    <w:rsid w:val="0084540E"/>
    <w:rsid w:val="00885D59"/>
    <w:rsid w:val="008B1ADA"/>
    <w:rsid w:val="008E1BE0"/>
    <w:rsid w:val="008E3961"/>
    <w:rsid w:val="00954AE9"/>
    <w:rsid w:val="00981637"/>
    <w:rsid w:val="009B263F"/>
    <w:rsid w:val="00A10DF2"/>
    <w:rsid w:val="00A574E5"/>
    <w:rsid w:val="00A66296"/>
    <w:rsid w:val="00A81D06"/>
    <w:rsid w:val="00B24E5E"/>
    <w:rsid w:val="00B479C1"/>
    <w:rsid w:val="00BD221F"/>
    <w:rsid w:val="00C0172C"/>
    <w:rsid w:val="00C05128"/>
    <w:rsid w:val="00C3013F"/>
    <w:rsid w:val="00C832CE"/>
    <w:rsid w:val="00CD666E"/>
    <w:rsid w:val="00D10AC5"/>
    <w:rsid w:val="00D30153"/>
    <w:rsid w:val="00D47A71"/>
    <w:rsid w:val="00D76A42"/>
    <w:rsid w:val="00D83651"/>
    <w:rsid w:val="00DD20DD"/>
    <w:rsid w:val="00E47133"/>
    <w:rsid w:val="00EA78C7"/>
    <w:rsid w:val="00EC4D8D"/>
    <w:rsid w:val="00F479DB"/>
    <w:rsid w:val="00F5721D"/>
    <w:rsid w:val="00F9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9E614-6D10-46E9-8F4D-40F54D72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D4F"/>
    <w:pPr>
      <w:tabs>
        <w:tab w:val="center" w:pos="4680"/>
        <w:tab w:val="right" w:pos="9360"/>
      </w:tabs>
    </w:pPr>
  </w:style>
  <w:style w:type="character" w:customStyle="1" w:styleId="HeaderChar">
    <w:name w:val="Header Char"/>
    <w:basedOn w:val="DefaultParagraphFont"/>
    <w:link w:val="Header"/>
    <w:uiPriority w:val="99"/>
    <w:rsid w:val="00685D4F"/>
  </w:style>
  <w:style w:type="paragraph" w:styleId="Footer">
    <w:name w:val="footer"/>
    <w:basedOn w:val="Normal"/>
    <w:link w:val="FooterChar"/>
    <w:uiPriority w:val="99"/>
    <w:unhideWhenUsed/>
    <w:rsid w:val="00685D4F"/>
    <w:pPr>
      <w:tabs>
        <w:tab w:val="center" w:pos="4680"/>
        <w:tab w:val="right" w:pos="9360"/>
      </w:tabs>
    </w:pPr>
  </w:style>
  <w:style w:type="character" w:customStyle="1" w:styleId="FooterChar">
    <w:name w:val="Footer Char"/>
    <w:basedOn w:val="DefaultParagraphFont"/>
    <w:link w:val="Footer"/>
    <w:uiPriority w:val="99"/>
    <w:rsid w:val="00685D4F"/>
  </w:style>
  <w:style w:type="paragraph" w:styleId="BalloonText">
    <w:name w:val="Balloon Text"/>
    <w:basedOn w:val="Normal"/>
    <w:link w:val="BalloonTextChar"/>
    <w:uiPriority w:val="99"/>
    <w:semiHidden/>
    <w:unhideWhenUsed/>
    <w:rsid w:val="00685D4F"/>
    <w:rPr>
      <w:rFonts w:ascii="Tahoma" w:hAnsi="Tahoma" w:cs="Tahoma"/>
      <w:sz w:val="16"/>
      <w:szCs w:val="16"/>
    </w:rPr>
  </w:style>
  <w:style w:type="character" w:customStyle="1" w:styleId="BalloonTextChar">
    <w:name w:val="Balloon Text Char"/>
    <w:basedOn w:val="DefaultParagraphFont"/>
    <w:link w:val="BalloonText"/>
    <w:uiPriority w:val="99"/>
    <w:semiHidden/>
    <w:rsid w:val="00685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4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Sumner, Dave,  K1ZZ</cp:lastModifiedBy>
  <cp:revision>6</cp:revision>
  <cp:lastPrinted>2014-09-12T17:05:00Z</cp:lastPrinted>
  <dcterms:created xsi:type="dcterms:W3CDTF">2015-09-23T17:36:00Z</dcterms:created>
  <dcterms:modified xsi:type="dcterms:W3CDTF">2015-09-24T19:05:00Z</dcterms:modified>
</cp:coreProperties>
</file>