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D22" w:rsidRDefault="00B53D22" w:rsidP="007163FE">
      <w:pPr>
        <w:jc w:val="center"/>
        <w:rPr>
          <w:b/>
        </w:rPr>
      </w:pPr>
      <w:bookmarkStart w:id="0" w:name="_GoBack"/>
      <w:bookmarkEnd w:id="0"/>
    </w:p>
    <w:p w:rsidR="00034C6D" w:rsidRPr="0075321D" w:rsidRDefault="00034C6D" w:rsidP="007163FE">
      <w:pPr>
        <w:jc w:val="center"/>
        <w:rPr>
          <w:b/>
        </w:rPr>
      </w:pPr>
      <w:r w:rsidRPr="0075321D">
        <w:rPr>
          <w:b/>
        </w:rPr>
        <w:t>Before the</w:t>
      </w:r>
    </w:p>
    <w:p w:rsidR="00034C6D" w:rsidRPr="0075321D" w:rsidRDefault="00034C6D" w:rsidP="007163FE">
      <w:pPr>
        <w:jc w:val="center"/>
        <w:rPr>
          <w:b/>
        </w:rPr>
      </w:pPr>
      <w:r w:rsidRPr="0075321D">
        <w:rPr>
          <w:b/>
        </w:rPr>
        <w:t>Federal Communications Commission</w:t>
      </w:r>
    </w:p>
    <w:p w:rsidR="00034C6D" w:rsidRPr="0075321D" w:rsidRDefault="00034C6D" w:rsidP="007163FE">
      <w:pPr>
        <w:jc w:val="center"/>
        <w:rPr>
          <w:b/>
        </w:rPr>
      </w:pPr>
      <w:r w:rsidRPr="0075321D">
        <w:rPr>
          <w:b/>
        </w:rPr>
        <w:t>Washington, D.C. 20554</w:t>
      </w:r>
    </w:p>
    <w:p w:rsidR="00034C6D" w:rsidRDefault="00034C6D" w:rsidP="007163FE"/>
    <w:p w:rsidR="00B53D22" w:rsidRPr="0075321D" w:rsidRDefault="00B53D22" w:rsidP="007163FE"/>
    <w:tbl>
      <w:tblPr>
        <w:tblW w:w="0" w:type="auto"/>
        <w:tblLayout w:type="fixed"/>
        <w:tblLook w:val="0000" w:firstRow="0" w:lastRow="0" w:firstColumn="0" w:lastColumn="0" w:noHBand="0" w:noVBand="0"/>
      </w:tblPr>
      <w:tblGrid>
        <w:gridCol w:w="4698"/>
        <w:gridCol w:w="720"/>
        <w:gridCol w:w="4230"/>
      </w:tblGrid>
      <w:tr w:rsidR="00034C6D" w:rsidRPr="0075321D">
        <w:tc>
          <w:tcPr>
            <w:tcW w:w="4698" w:type="dxa"/>
          </w:tcPr>
          <w:p w:rsidR="00034C6D" w:rsidRPr="0075321D" w:rsidRDefault="00034C6D" w:rsidP="007163FE">
            <w:pPr>
              <w:ind w:right="-18"/>
            </w:pPr>
            <w:r w:rsidRPr="0075321D">
              <w:t>In the Matter of</w:t>
            </w:r>
          </w:p>
          <w:p w:rsidR="00FD530C" w:rsidRPr="0075321D" w:rsidRDefault="00FD530C" w:rsidP="007163FE">
            <w:pPr>
              <w:ind w:right="-18"/>
            </w:pPr>
          </w:p>
          <w:p w:rsidR="00034C6D" w:rsidRPr="0075321D" w:rsidRDefault="00FD530C" w:rsidP="007163FE">
            <w:pPr>
              <w:ind w:right="-18"/>
            </w:pPr>
            <w:r w:rsidRPr="0075321D">
              <w:t>DAVID TITUS</w:t>
            </w:r>
          </w:p>
          <w:p w:rsidR="00034C6D" w:rsidRPr="0075321D" w:rsidRDefault="00034C6D" w:rsidP="007163FE">
            <w:pPr>
              <w:ind w:right="-18"/>
            </w:pPr>
          </w:p>
          <w:p w:rsidR="00FD530C" w:rsidRPr="0075321D" w:rsidRDefault="00FD530C" w:rsidP="007163FE">
            <w:pPr>
              <w:ind w:right="-18"/>
            </w:pPr>
            <w:r w:rsidRPr="0075321D">
              <w:t xml:space="preserve">Amateur Radio Operator and Licensee of </w:t>
            </w:r>
          </w:p>
          <w:p w:rsidR="00034C6D" w:rsidRPr="0075321D" w:rsidRDefault="00FD530C" w:rsidP="007163FE">
            <w:pPr>
              <w:ind w:right="-18"/>
            </w:pPr>
            <w:r w:rsidRPr="0075321D">
              <w:t>Amateur Radio Station KB7ILD</w:t>
            </w:r>
          </w:p>
          <w:p w:rsidR="00034C6D" w:rsidRPr="0075321D" w:rsidRDefault="00034C6D" w:rsidP="007163FE">
            <w:pPr>
              <w:ind w:right="-18"/>
            </w:pPr>
          </w:p>
        </w:tc>
        <w:tc>
          <w:tcPr>
            <w:tcW w:w="720" w:type="dxa"/>
          </w:tcPr>
          <w:p w:rsidR="00034C6D" w:rsidRPr="0075321D" w:rsidRDefault="00034C6D" w:rsidP="007163FE">
            <w:pPr>
              <w:rPr>
                <w:b/>
              </w:rPr>
            </w:pPr>
            <w:r w:rsidRPr="0075321D">
              <w:rPr>
                <w:b/>
              </w:rPr>
              <w:t>)</w:t>
            </w:r>
          </w:p>
          <w:p w:rsidR="00034C6D" w:rsidRPr="0075321D" w:rsidRDefault="00034C6D" w:rsidP="007163FE">
            <w:pPr>
              <w:rPr>
                <w:b/>
              </w:rPr>
            </w:pPr>
            <w:r w:rsidRPr="0075321D">
              <w:rPr>
                <w:b/>
              </w:rPr>
              <w:t>)</w:t>
            </w:r>
          </w:p>
          <w:p w:rsidR="00034C6D" w:rsidRPr="0075321D" w:rsidRDefault="00034C6D" w:rsidP="007163FE">
            <w:pPr>
              <w:rPr>
                <w:b/>
              </w:rPr>
            </w:pPr>
            <w:r w:rsidRPr="0075321D">
              <w:rPr>
                <w:b/>
              </w:rPr>
              <w:t>)</w:t>
            </w:r>
          </w:p>
          <w:p w:rsidR="00034C6D" w:rsidRPr="0075321D" w:rsidRDefault="00034C6D" w:rsidP="007163FE">
            <w:pPr>
              <w:rPr>
                <w:b/>
              </w:rPr>
            </w:pPr>
            <w:r w:rsidRPr="0075321D">
              <w:rPr>
                <w:b/>
              </w:rPr>
              <w:t>)</w:t>
            </w:r>
          </w:p>
          <w:p w:rsidR="00034C6D" w:rsidRPr="0075321D" w:rsidRDefault="00034C6D" w:rsidP="007163FE">
            <w:pPr>
              <w:rPr>
                <w:b/>
              </w:rPr>
            </w:pPr>
            <w:r w:rsidRPr="0075321D">
              <w:rPr>
                <w:b/>
              </w:rPr>
              <w:t>)</w:t>
            </w:r>
          </w:p>
          <w:p w:rsidR="00034C6D" w:rsidRPr="0075321D" w:rsidRDefault="00034C6D" w:rsidP="007163FE">
            <w:pPr>
              <w:rPr>
                <w:b/>
              </w:rPr>
            </w:pPr>
            <w:r w:rsidRPr="0075321D">
              <w:rPr>
                <w:b/>
              </w:rPr>
              <w:t>)</w:t>
            </w:r>
          </w:p>
        </w:tc>
        <w:tc>
          <w:tcPr>
            <w:tcW w:w="4230" w:type="dxa"/>
          </w:tcPr>
          <w:p w:rsidR="00034C6D" w:rsidRPr="0075321D" w:rsidRDefault="00FD530C" w:rsidP="007163FE">
            <w:r w:rsidRPr="0075321D">
              <w:t>EB Docket No. 07-13</w:t>
            </w:r>
          </w:p>
          <w:p w:rsidR="00034C6D" w:rsidRPr="0075321D" w:rsidRDefault="00034C6D" w:rsidP="007163FE"/>
          <w:p w:rsidR="00034C6D" w:rsidRPr="0075321D" w:rsidRDefault="00FD530C" w:rsidP="007163FE">
            <w:r w:rsidRPr="0075321D">
              <w:t>FRN No. 0002074797</w:t>
            </w:r>
          </w:p>
          <w:p w:rsidR="00FD530C" w:rsidRPr="0075321D" w:rsidRDefault="00FD530C" w:rsidP="007163FE"/>
          <w:p w:rsidR="00FD530C" w:rsidRPr="0075321D" w:rsidRDefault="00FD530C" w:rsidP="007163FE">
            <w:r w:rsidRPr="0075321D">
              <w:t>File No. EB-06-IH-5048</w:t>
            </w:r>
          </w:p>
        </w:tc>
      </w:tr>
    </w:tbl>
    <w:p w:rsidR="00FD530C" w:rsidRPr="0075321D" w:rsidRDefault="00FD530C" w:rsidP="007163FE">
      <w:pPr>
        <w:spacing w:before="120"/>
        <w:jc w:val="center"/>
        <w:rPr>
          <w:b/>
        </w:rPr>
      </w:pPr>
      <w:r w:rsidRPr="0075321D">
        <w:rPr>
          <w:b/>
        </w:rPr>
        <w:t>Appearances</w:t>
      </w:r>
    </w:p>
    <w:p w:rsidR="00FD530C" w:rsidRPr="0075321D" w:rsidRDefault="00FD530C" w:rsidP="007163FE">
      <w:pPr>
        <w:spacing w:before="120"/>
      </w:pPr>
      <w:r w:rsidRPr="0075321D">
        <w:rPr>
          <w:i/>
        </w:rPr>
        <w:t xml:space="preserve">George L. Lyon, Jr., </w:t>
      </w:r>
      <w:r w:rsidR="00803E21" w:rsidRPr="0075321D">
        <w:rPr>
          <w:i/>
        </w:rPr>
        <w:t xml:space="preserve">Esq. </w:t>
      </w:r>
      <w:r w:rsidRPr="0075321D">
        <w:t xml:space="preserve">on behalf of David L. Titus; </w:t>
      </w:r>
      <w:r w:rsidR="00335593" w:rsidRPr="004F73A8">
        <w:rPr>
          <w:i/>
        </w:rPr>
        <w:t>P. Michele Ellison, Esq.,</w:t>
      </w:r>
      <w:r w:rsidR="00335593">
        <w:t xml:space="preserve">  </w:t>
      </w:r>
      <w:r w:rsidRPr="0075321D">
        <w:rPr>
          <w:i/>
        </w:rPr>
        <w:t>Judy Lancaste</w:t>
      </w:r>
      <w:r w:rsidR="00803E21" w:rsidRPr="0075321D">
        <w:rPr>
          <w:i/>
        </w:rPr>
        <w:t>r, Esq</w:t>
      </w:r>
      <w:r w:rsidR="007D4F91">
        <w:rPr>
          <w:i/>
        </w:rPr>
        <w:t>.</w:t>
      </w:r>
      <w:r w:rsidR="00335593">
        <w:rPr>
          <w:i/>
        </w:rPr>
        <w:t>,</w:t>
      </w:r>
      <w:r w:rsidRPr="0075321D">
        <w:rPr>
          <w:i/>
        </w:rPr>
        <w:t xml:space="preserve"> and William Knowles-Kellett</w:t>
      </w:r>
      <w:r w:rsidR="00803E21" w:rsidRPr="0075321D">
        <w:rPr>
          <w:i/>
        </w:rPr>
        <w:t>, Esq.</w:t>
      </w:r>
      <w:r w:rsidRPr="0075321D">
        <w:rPr>
          <w:i/>
        </w:rPr>
        <w:t xml:space="preserve">, </w:t>
      </w:r>
      <w:r w:rsidRPr="0075321D">
        <w:t>on behalf of the Enforcement Bureau</w:t>
      </w:r>
    </w:p>
    <w:p w:rsidR="00FD530C" w:rsidRPr="0075321D" w:rsidRDefault="00FD530C" w:rsidP="007163FE">
      <w:pPr>
        <w:spacing w:before="120"/>
        <w:jc w:val="center"/>
        <w:rPr>
          <w:b/>
        </w:rPr>
      </w:pPr>
    </w:p>
    <w:p w:rsidR="00034C6D" w:rsidRPr="0075321D" w:rsidRDefault="00FD530C" w:rsidP="007163FE">
      <w:pPr>
        <w:spacing w:before="120"/>
        <w:jc w:val="center"/>
        <w:rPr>
          <w:b/>
        </w:rPr>
      </w:pPr>
      <w:r w:rsidRPr="0075321D">
        <w:rPr>
          <w:b/>
        </w:rPr>
        <w:t>DECISION</w:t>
      </w:r>
    </w:p>
    <w:p w:rsidR="00034C6D" w:rsidRPr="0075321D" w:rsidRDefault="00034C6D" w:rsidP="007163FE">
      <w:pPr>
        <w:tabs>
          <w:tab w:val="left" w:pos="5760"/>
        </w:tabs>
      </w:pPr>
    </w:p>
    <w:p w:rsidR="00034C6D" w:rsidRPr="0075321D" w:rsidRDefault="00034C6D" w:rsidP="007163FE">
      <w:pPr>
        <w:tabs>
          <w:tab w:val="right" w:pos="9360"/>
        </w:tabs>
        <w:rPr>
          <w:b/>
        </w:rPr>
      </w:pPr>
      <w:r w:rsidRPr="0075321D">
        <w:rPr>
          <w:b/>
        </w:rPr>
        <w:t xml:space="preserve">Adopted: </w:t>
      </w:r>
      <w:r w:rsidR="000D4FAE">
        <w:rPr>
          <w:b/>
        </w:rPr>
        <w:t xml:space="preserve"> November 5, 2014</w:t>
      </w:r>
      <w:r w:rsidR="001423B7" w:rsidRPr="0075321D">
        <w:rPr>
          <w:b/>
        </w:rPr>
        <w:tab/>
      </w:r>
      <w:r w:rsidRPr="0075321D">
        <w:rPr>
          <w:b/>
        </w:rPr>
        <w:t xml:space="preserve">Released:  </w:t>
      </w:r>
      <w:r w:rsidR="000D4FAE">
        <w:rPr>
          <w:b/>
        </w:rPr>
        <w:t xml:space="preserve">November </w:t>
      </w:r>
      <w:r w:rsidR="006D3EF0">
        <w:rPr>
          <w:b/>
        </w:rPr>
        <w:t>6</w:t>
      </w:r>
      <w:r w:rsidR="000D4FAE">
        <w:rPr>
          <w:b/>
        </w:rPr>
        <w:t>, 2014</w:t>
      </w:r>
    </w:p>
    <w:p w:rsidR="00034C6D" w:rsidRPr="0075321D" w:rsidRDefault="00034C6D" w:rsidP="007163FE">
      <w:pPr>
        <w:tabs>
          <w:tab w:val="left" w:pos="5760"/>
        </w:tabs>
        <w:rPr>
          <w:b/>
        </w:rPr>
      </w:pPr>
    </w:p>
    <w:p w:rsidR="00034C6D" w:rsidRPr="0075321D" w:rsidRDefault="00034C6D" w:rsidP="007163FE">
      <w:pPr>
        <w:tabs>
          <w:tab w:val="left" w:pos="5760"/>
        </w:tabs>
        <w:rPr>
          <w:spacing w:val="-2"/>
        </w:rPr>
      </w:pPr>
      <w:r w:rsidRPr="0075321D">
        <w:t>By the Commission</w:t>
      </w:r>
      <w:r w:rsidRPr="0075321D">
        <w:rPr>
          <w:spacing w:val="-2"/>
        </w:rPr>
        <w:t>:</w:t>
      </w:r>
    </w:p>
    <w:p w:rsidR="00034C6D" w:rsidRDefault="00034C6D" w:rsidP="007163FE">
      <w:pPr>
        <w:tabs>
          <w:tab w:val="left" w:pos="5760"/>
        </w:tabs>
        <w:rPr>
          <w:spacing w:val="-2"/>
        </w:rPr>
      </w:pPr>
    </w:p>
    <w:p w:rsidR="00B53D22" w:rsidRPr="0075321D" w:rsidRDefault="00B53D22" w:rsidP="007163FE">
      <w:pPr>
        <w:tabs>
          <w:tab w:val="left" w:pos="5760"/>
        </w:tabs>
        <w:rPr>
          <w:spacing w:val="-2"/>
        </w:rPr>
      </w:pPr>
    </w:p>
    <w:p w:rsidR="00F0169A" w:rsidRDefault="00B45C8C" w:rsidP="00B53D22">
      <w:pPr>
        <w:pStyle w:val="Heading1"/>
      </w:pPr>
      <w:r w:rsidRPr="0075321D">
        <w:lastRenderedPageBreak/>
        <w:t>INTRODUCTION</w:t>
      </w:r>
    </w:p>
    <w:p w:rsidR="00F0169A" w:rsidRDefault="00243ACB" w:rsidP="002E190D">
      <w:pPr>
        <w:pStyle w:val="ParaNum"/>
      </w:pPr>
      <w:r w:rsidRPr="0075321D">
        <w:t xml:space="preserve">By this decision, we </w:t>
      </w:r>
      <w:r w:rsidR="0031311C" w:rsidRPr="0075321D">
        <w:t xml:space="preserve">reverse </w:t>
      </w:r>
      <w:r w:rsidR="001556F9" w:rsidRPr="0075321D">
        <w:t>the</w:t>
      </w:r>
      <w:r w:rsidRPr="0075321D">
        <w:t xml:space="preserve"> initial decision</w:t>
      </w:r>
      <w:r w:rsidR="00E72281" w:rsidRPr="0075321D">
        <w:rPr>
          <w:rStyle w:val="FootnoteReference"/>
          <w:sz w:val="22"/>
        </w:rPr>
        <w:footnoteReference w:id="2"/>
      </w:r>
      <w:r w:rsidR="00E72281" w:rsidRPr="0075321D">
        <w:t xml:space="preserve"> </w:t>
      </w:r>
      <w:r w:rsidRPr="0075321D">
        <w:t xml:space="preserve">by Chief Administrative Law Judge Richard L. Sippel (ALJ) that declined to revoke </w:t>
      </w:r>
      <w:r w:rsidR="00C6638D" w:rsidRPr="0075321D">
        <w:t xml:space="preserve">the license held by </w:t>
      </w:r>
      <w:r w:rsidRPr="0075321D">
        <w:t xml:space="preserve">David </w:t>
      </w:r>
      <w:r w:rsidR="0025058A" w:rsidRPr="0075321D">
        <w:t xml:space="preserve">L. </w:t>
      </w:r>
      <w:r w:rsidRPr="0075321D">
        <w:t>Titus (</w:t>
      </w:r>
      <w:r w:rsidR="00A65B87" w:rsidRPr="0075321D">
        <w:t>T</w:t>
      </w:r>
      <w:r w:rsidRPr="0075321D">
        <w:t xml:space="preserve">itus) to operate amateur radio station KB7ILD.  </w:t>
      </w:r>
      <w:r w:rsidR="000C215D" w:rsidRPr="0075321D">
        <w:t xml:space="preserve">We find that the ALJ </w:t>
      </w:r>
      <w:r w:rsidR="0031311C" w:rsidRPr="0075321D">
        <w:t xml:space="preserve">erred in holding that </w:t>
      </w:r>
      <w:r w:rsidR="008C1E84" w:rsidRPr="0075321D">
        <w:t xml:space="preserve">the Enforcement Bureau (EB) </w:t>
      </w:r>
      <w:r w:rsidR="001C4C4C" w:rsidRPr="0075321D">
        <w:t>failed to meet its burden of demonstrating that Titus is currently unqualified to remain a Commission licensee</w:t>
      </w:r>
      <w:r w:rsidR="0031311C" w:rsidRPr="0075321D">
        <w:t xml:space="preserve">, </w:t>
      </w:r>
      <w:r w:rsidR="00AA37CC" w:rsidRPr="0075321D">
        <w:t>inasmuch as t</w:t>
      </w:r>
      <w:r w:rsidR="0031311C" w:rsidRPr="0075321D">
        <w:t xml:space="preserve">he </w:t>
      </w:r>
      <w:r w:rsidR="00AA37CC" w:rsidRPr="0075321D">
        <w:t xml:space="preserve">ALJ </w:t>
      </w:r>
      <w:r w:rsidR="0031311C" w:rsidRPr="0075321D">
        <w:t xml:space="preserve">failed to </w:t>
      </w:r>
      <w:r w:rsidR="002E1B98">
        <w:t xml:space="preserve">consider relevant convictions for sex offenses, and failed to </w:t>
      </w:r>
      <w:r w:rsidR="0031311C" w:rsidRPr="0075321D">
        <w:t xml:space="preserve">give appropriate deference to the judgment of local </w:t>
      </w:r>
      <w:r w:rsidR="005A262A" w:rsidRPr="0075321D">
        <w:t xml:space="preserve">law enforcement </w:t>
      </w:r>
      <w:r w:rsidR="0031311C" w:rsidRPr="0075321D">
        <w:t xml:space="preserve">authorities that Titus is a </w:t>
      </w:r>
      <w:r w:rsidR="00926AA5">
        <w:t xml:space="preserve">convicted </w:t>
      </w:r>
      <w:r w:rsidR="00D74243">
        <w:t>s</w:t>
      </w:r>
      <w:r w:rsidR="0031311C" w:rsidRPr="0075321D">
        <w:t>ex offender</w:t>
      </w:r>
      <w:r w:rsidR="00ED51BC" w:rsidRPr="0075321D">
        <w:t xml:space="preserve"> who poses a </w:t>
      </w:r>
      <w:r w:rsidR="002E1B98">
        <w:t xml:space="preserve">high </w:t>
      </w:r>
      <w:r w:rsidR="00ED51BC" w:rsidRPr="0075321D">
        <w:t>risk to the safety of the community</w:t>
      </w:r>
      <w:r w:rsidR="00134825" w:rsidRPr="0075321D">
        <w:t>.</w:t>
      </w:r>
      <w:r w:rsidR="005A262A" w:rsidRPr="0075321D">
        <w:t xml:space="preserve">  Accordingly, we grant EB’</w:t>
      </w:r>
      <w:r w:rsidR="00F84AB5" w:rsidRPr="0075321D">
        <w:t>s exc</w:t>
      </w:r>
      <w:r w:rsidR="005A262A" w:rsidRPr="0075321D">
        <w:t>e</w:t>
      </w:r>
      <w:r w:rsidR="00F84AB5" w:rsidRPr="0075321D">
        <w:t>p</w:t>
      </w:r>
      <w:r w:rsidR="005A262A" w:rsidRPr="0075321D">
        <w:t>tions</w:t>
      </w:r>
      <w:r w:rsidR="00A471A3" w:rsidRPr="0075321D">
        <w:t xml:space="preserve"> to the extent indicated</w:t>
      </w:r>
      <w:r w:rsidR="005A262A" w:rsidRPr="0075321D">
        <w:t xml:space="preserve">, reverse the ALJ’s initial decision, and revoke </w:t>
      </w:r>
      <w:r w:rsidR="00E7677F" w:rsidRPr="0075321D">
        <w:t>Titus’</w:t>
      </w:r>
      <w:r w:rsidR="005A262A" w:rsidRPr="0075321D">
        <w:t>s license.</w:t>
      </w:r>
    </w:p>
    <w:p w:rsidR="00F0169A" w:rsidRDefault="004E21D5" w:rsidP="00B53D22">
      <w:pPr>
        <w:pStyle w:val="Heading1"/>
      </w:pPr>
      <w:r w:rsidRPr="002E190D">
        <w:t>BACKGROUND</w:t>
      </w:r>
    </w:p>
    <w:p w:rsidR="00F0169A" w:rsidRDefault="0049044E" w:rsidP="00B53D22">
      <w:pPr>
        <w:pStyle w:val="ParaNum"/>
      </w:pPr>
      <w:r w:rsidRPr="0075321D">
        <w:rPr>
          <w:b/>
        </w:rPr>
        <w:t xml:space="preserve">Order to </w:t>
      </w:r>
      <w:r w:rsidR="00481D66" w:rsidRPr="0075321D">
        <w:rPr>
          <w:b/>
        </w:rPr>
        <w:t>S</w:t>
      </w:r>
      <w:r w:rsidRPr="0075321D">
        <w:rPr>
          <w:b/>
        </w:rPr>
        <w:t xml:space="preserve">how </w:t>
      </w:r>
      <w:r w:rsidR="00481D66" w:rsidRPr="0075321D">
        <w:rPr>
          <w:b/>
        </w:rPr>
        <w:t>C</w:t>
      </w:r>
      <w:r w:rsidRPr="0075321D">
        <w:rPr>
          <w:b/>
        </w:rPr>
        <w:t xml:space="preserve">ause.  </w:t>
      </w:r>
      <w:r w:rsidR="001556F9" w:rsidRPr="0075321D">
        <w:t>In 2007,</w:t>
      </w:r>
      <w:r w:rsidR="001556F9" w:rsidRPr="0075321D">
        <w:rPr>
          <w:b/>
        </w:rPr>
        <w:t xml:space="preserve"> </w:t>
      </w:r>
      <w:r w:rsidR="00D9010E" w:rsidRPr="0075321D">
        <w:t>E</w:t>
      </w:r>
      <w:r w:rsidR="00DD781C" w:rsidRPr="0075321D">
        <w:t xml:space="preserve">B </w:t>
      </w:r>
      <w:r w:rsidR="00911643" w:rsidRPr="0075321D">
        <w:t xml:space="preserve">issued an </w:t>
      </w:r>
      <w:r w:rsidR="004A2D59">
        <w:t>O</w:t>
      </w:r>
      <w:r w:rsidR="00911643" w:rsidRPr="0075321D">
        <w:t xml:space="preserve">rder to </w:t>
      </w:r>
      <w:r w:rsidR="004A2D59">
        <w:t>S</w:t>
      </w:r>
      <w:r w:rsidR="00911643" w:rsidRPr="0075321D">
        <w:t xml:space="preserve">how </w:t>
      </w:r>
      <w:r w:rsidR="004A2D59">
        <w:t>C</w:t>
      </w:r>
      <w:r w:rsidR="00911643" w:rsidRPr="0075321D">
        <w:t xml:space="preserve">ause why </w:t>
      </w:r>
      <w:r w:rsidR="00E7677F" w:rsidRPr="0075321D">
        <w:t>Titus’</w:t>
      </w:r>
      <w:r w:rsidR="008C1E84" w:rsidRPr="0075321D">
        <w:t>s</w:t>
      </w:r>
      <w:r w:rsidR="00911643" w:rsidRPr="0075321D">
        <w:t xml:space="preserve"> license should not be revoked</w:t>
      </w:r>
      <w:r w:rsidR="0025058A" w:rsidRPr="0075321D">
        <w:t xml:space="preserve">, </w:t>
      </w:r>
      <w:r w:rsidR="00911643" w:rsidRPr="0075321D">
        <w:t>b</w:t>
      </w:r>
      <w:r w:rsidR="00DD781C" w:rsidRPr="0075321D">
        <w:t xml:space="preserve">ased on information </w:t>
      </w:r>
      <w:r w:rsidR="001556F9" w:rsidRPr="0075321D">
        <w:t xml:space="preserve">it received </w:t>
      </w:r>
      <w:r w:rsidR="00DD781C" w:rsidRPr="0075321D">
        <w:t>that</w:t>
      </w:r>
      <w:r w:rsidR="001A72DE">
        <w:t xml:space="preserve"> </w:t>
      </w:r>
      <w:r w:rsidR="00DD781C" w:rsidRPr="0075321D">
        <w:t xml:space="preserve">Titus had </w:t>
      </w:r>
      <w:r w:rsidR="001A72DE">
        <w:t xml:space="preserve">previously </w:t>
      </w:r>
      <w:r w:rsidR="00DD781C" w:rsidRPr="0075321D">
        <w:t xml:space="preserve">been convicted in the State of Washington of </w:t>
      </w:r>
      <w:r w:rsidR="00E140C1">
        <w:t xml:space="preserve">at least one felony sex offense involving </w:t>
      </w:r>
      <w:r w:rsidR="00287E13">
        <w:t>a child</w:t>
      </w:r>
      <w:r w:rsidR="00DD781C" w:rsidRPr="0075321D">
        <w:t xml:space="preserve">. </w:t>
      </w:r>
      <w:r w:rsidR="00E140C1">
        <w:t xml:space="preserve">In particular, EB learned that </w:t>
      </w:r>
      <w:r w:rsidR="00D13A2F" w:rsidRPr="0075321D">
        <w:t xml:space="preserve">Titus had been </w:t>
      </w:r>
      <w:r w:rsidR="0027600C" w:rsidRPr="0075321D">
        <w:t>convicted</w:t>
      </w:r>
      <w:r w:rsidR="00D13A2F" w:rsidRPr="0075321D">
        <w:t xml:space="preserve"> </w:t>
      </w:r>
      <w:r w:rsidR="00F34343">
        <w:t xml:space="preserve">of “communicating </w:t>
      </w:r>
      <w:r w:rsidR="00F34343" w:rsidRPr="002E190D">
        <w:t>with</w:t>
      </w:r>
      <w:r w:rsidR="00F34343">
        <w:t xml:space="preserve"> a min</w:t>
      </w:r>
      <w:r w:rsidR="00287E13">
        <w:t>o</w:t>
      </w:r>
      <w:r w:rsidR="00F34343">
        <w:t>r for immoral purposes,</w:t>
      </w:r>
      <w:r w:rsidR="00287E13">
        <w:t xml:space="preserve">” a Class 3 felony for which he </w:t>
      </w:r>
      <w:r w:rsidR="00E72281" w:rsidRPr="0075321D">
        <w:t xml:space="preserve">served </w:t>
      </w:r>
      <w:r w:rsidR="00803E21" w:rsidRPr="0075321D">
        <w:t>25 months in prison</w:t>
      </w:r>
      <w:r w:rsidR="00287E13">
        <w:t xml:space="preserve">, and is </w:t>
      </w:r>
      <w:r w:rsidR="00801780" w:rsidRPr="0075321D">
        <w:t xml:space="preserve">registered </w:t>
      </w:r>
      <w:r w:rsidR="00287E13">
        <w:t xml:space="preserve">as a </w:t>
      </w:r>
      <w:r w:rsidR="00801780" w:rsidRPr="0075321D">
        <w:t>sex offender</w:t>
      </w:r>
      <w:r w:rsidR="00287E13">
        <w:t xml:space="preserve"> by the Seattle Police Department</w:t>
      </w:r>
      <w:r w:rsidR="00801780" w:rsidRPr="0075321D">
        <w:t>.</w:t>
      </w:r>
      <w:r w:rsidR="00287E13" w:rsidRPr="0075321D">
        <w:rPr>
          <w:rStyle w:val="FootnoteReference"/>
          <w:sz w:val="22"/>
        </w:rPr>
        <w:footnoteReference w:id="3"/>
      </w:r>
      <w:r w:rsidR="00801780" w:rsidRPr="0075321D">
        <w:t xml:space="preserve"> </w:t>
      </w:r>
      <w:r w:rsidR="00287E13">
        <w:t xml:space="preserve">The </w:t>
      </w:r>
      <w:r w:rsidR="004A2D59">
        <w:t>Order to</w:t>
      </w:r>
      <w:r w:rsidR="00287E13">
        <w:t xml:space="preserve"> </w:t>
      </w:r>
      <w:r w:rsidR="004A2D59">
        <w:t>S</w:t>
      </w:r>
      <w:r w:rsidR="00287E13">
        <w:t xml:space="preserve">how </w:t>
      </w:r>
      <w:r w:rsidR="004A2D59">
        <w:t>C</w:t>
      </w:r>
      <w:r w:rsidR="00287E13">
        <w:t>ause also adverted to the possibility that Titus had other felony convictions for sex crimes</w:t>
      </w:r>
      <w:r w:rsidR="00007104">
        <w:t>.</w:t>
      </w:r>
      <w:r w:rsidR="00287E13">
        <w:rPr>
          <w:rStyle w:val="FootnoteReference"/>
        </w:rPr>
        <w:footnoteReference w:id="4"/>
      </w:r>
      <w:r w:rsidR="00287E13">
        <w:t xml:space="preserve"> </w:t>
      </w:r>
      <w:r w:rsidR="0025058A" w:rsidRPr="0075321D">
        <w:t xml:space="preserve">EB designated </w:t>
      </w:r>
      <w:r w:rsidR="00B45C8C" w:rsidRPr="0075321D">
        <w:t>for hearing</w:t>
      </w:r>
      <w:r w:rsidR="005007F4" w:rsidRPr="0075321D">
        <w:t xml:space="preserve"> whether Titus is qualified to remain a licensee in light of his </w:t>
      </w:r>
      <w:r w:rsidR="008C1E84" w:rsidRPr="0075321D">
        <w:t xml:space="preserve">past </w:t>
      </w:r>
      <w:r w:rsidR="005A262A" w:rsidRPr="0075321D">
        <w:t xml:space="preserve">criminal </w:t>
      </w:r>
      <w:r w:rsidR="005007F4" w:rsidRPr="0075321D">
        <w:t>misconduct</w:t>
      </w:r>
      <w:r w:rsidR="00335593">
        <w:t xml:space="preserve"> </w:t>
      </w:r>
      <w:r w:rsidR="002E1B98">
        <w:t>or</w:t>
      </w:r>
      <w:r w:rsidR="00AB4862" w:rsidRPr="0075321D">
        <w:t xml:space="preserve"> whether his license should be revoked.</w:t>
      </w:r>
      <w:r w:rsidR="001E4D90" w:rsidRPr="0075321D">
        <w:rPr>
          <w:rStyle w:val="FootnoteReference"/>
          <w:sz w:val="22"/>
        </w:rPr>
        <w:footnoteReference w:id="5"/>
      </w:r>
      <w:r w:rsidR="005007F4" w:rsidRPr="0075321D">
        <w:t xml:space="preserve">  </w:t>
      </w:r>
      <w:r w:rsidR="00F675F7" w:rsidRPr="0075321D">
        <w:t>Pursuant to 47 U.S.C. §</w:t>
      </w:r>
      <w:r w:rsidR="00BE3645">
        <w:t> </w:t>
      </w:r>
      <w:r w:rsidR="00F675F7" w:rsidRPr="0075321D">
        <w:t>312(d) and 47 C.F.R. §</w:t>
      </w:r>
      <w:r w:rsidR="00B76BF0" w:rsidRPr="0075321D">
        <w:t> </w:t>
      </w:r>
      <w:r w:rsidR="00F675F7" w:rsidRPr="0075321D">
        <w:t xml:space="preserve">1.91(d), the </w:t>
      </w:r>
      <w:r w:rsidR="004A2D59">
        <w:t>O</w:t>
      </w:r>
      <w:r w:rsidR="00F675F7" w:rsidRPr="0075321D">
        <w:t xml:space="preserve">rder to </w:t>
      </w:r>
      <w:r w:rsidR="004A2D59">
        <w:t>S</w:t>
      </w:r>
      <w:r w:rsidR="00F675F7" w:rsidRPr="0075321D">
        <w:t xml:space="preserve">how </w:t>
      </w:r>
      <w:r w:rsidR="004A2D59">
        <w:t>C</w:t>
      </w:r>
      <w:r w:rsidR="00F675F7" w:rsidRPr="0075321D">
        <w:t>ause placed the burden of proceeding with the introduction of evidence and the burden of proof on EB.</w:t>
      </w:r>
      <w:r w:rsidR="009F6E1B" w:rsidRPr="0075321D">
        <w:rPr>
          <w:rStyle w:val="FootnoteReference"/>
          <w:sz w:val="22"/>
        </w:rPr>
        <w:footnoteReference w:id="6"/>
      </w:r>
    </w:p>
    <w:p w:rsidR="00F0169A" w:rsidRDefault="0049044E" w:rsidP="002E190D">
      <w:pPr>
        <w:pStyle w:val="ParaNum"/>
      </w:pPr>
      <w:r w:rsidRPr="0075321D">
        <w:rPr>
          <w:b/>
        </w:rPr>
        <w:t xml:space="preserve">Initial Decision.  </w:t>
      </w:r>
      <w:r w:rsidR="00F97EBE" w:rsidRPr="0075321D">
        <w:t xml:space="preserve">In </w:t>
      </w:r>
      <w:r w:rsidR="00236235" w:rsidRPr="0075321D">
        <w:t>h</w:t>
      </w:r>
      <w:r w:rsidR="00F97EBE" w:rsidRPr="0075321D">
        <w:t xml:space="preserve">is initial decision, the ALJ concluded that EB had not met its burden of proving that Titus </w:t>
      </w:r>
      <w:r w:rsidR="00F94629" w:rsidRPr="0075321D">
        <w:t xml:space="preserve">currently </w:t>
      </w:r>
      <w:r w:rsidR="00F97EBE" w:rsidRPr="0075321D">
        <w:t>lack</w:t>
      </w:r>
      <w:r w:rsidR="00F94629" w:rsidRPr="0075321D">
        <w:t>s</w:t>
      </w:r>
      <w:r w:rsidR="00F97EBE" w:rsidRPr="0075321D">
        <w:t xml:space="preserve"> the qualifications to be a Commission licensee.</w:t>
      </w:r>
      <w:r w:rsidR="00E52D8C" w:rsidRPr="0075321D">
        <w:rPr>
          <w:rStyle w:val="FootnoteReference"/>
          <w:sz w:val="22"/>
        </w:rPr>
        <w:footnoteReference w:id="7"/>
      </w:r>
      <w:r w:rsidR="00F97EBE" w:rsidRPr="0075321D">
        <w:t xml:space="preserve">  </w:t>
      </w:r>
      <w:r w:rsidR="00E52D8C" w:rsidRPr="0075321D">
        <w:t>He found that Titus</w:t>
      </w:r>
      <w:r w:rsidR="00041FD2" w:rsidRPr="0075321D">
        <w:t xml:space="preserve"> had committed </w:t>
      </w:r>
      <w:r w:rsidR="00007104">
        <w:t>at</w:t>
      </w:r>
      <w:r w:rsidR="009B6725">
        <w:t xml:space="preserve"> least</w:t>
      </w:r>
      <w:r w:rsidR="00007104">
        <w:t xml:space="preserve"> </w:t>
      </w:r>
      <w:r w:rsidR="009B6725">
        <w:t xml:space="preserve">four </w:t>
      </w:r>
      <w:r w:rsidR="00B45C8C" w:rsidRPr="0075321D">
        <w:t xml:space="preserve">sexual </w:t>
      </w:r>
      <w:r w:rsidR="00E52D8C" w:rsidRPr="0075321D">
        <w:t>offenses</w:t>
      </w:r>
      <w:r w:rsidR="00041FD2" w:rsidRPr="0075321D">
        <w:t xml:space="preserve"> against children</w:t>
      </w:r>
      <w:r w:rsidR="009B6725">
        <w:t>,</w:t>
      </w:r>
      <w:r w:rsidR="009B6725">
        <w:rPr>
          <w:rStyle w:val="FootnoteReference"/>
        </w:rPr>
        <w:footnoteReference w:id="8"/>
      </w:r>
      <w:r w:rsidR="00B45C8C" w:rsidRPr="0075321D">
        <w:t xml:space="preserve"> </w:t>
      </w:r>
      <w:r w:rsidR="00007104">
        <w:t xml:space="preserve">which </w:t>
      </w:r>
      <w:r w:rsidR="00B45C8C" w:rsidRPr="0075321D">
        <w:t xml:space="preserve">resulted </w:t>
      </w:r>
      <w:r w:rsidR="00041FD2" w:rsidRPr="0075321D">
        <w:t xml:space="preserve">in </w:t>
      </w:r>
      <w:r w:rsidR="00007104">
        <w:t xml:space="preserve">one conviction as an adult for a felony as well as </w:t>
      </w:r>
      <w:r w:rsidR="00041FD2" w:rsidRPr="0075321D">
        <w:t xml:space="preserve">two juvenile adjudications </w:t>
      </w:r>
      <w:r w:rsidR="009B6725">
        <w:t>of guilt</w:t>
      </w:r>
      <w:r w:rsidR="00B45C8C" w:rsidRPr="0075321D">
        <w:t>.</w:t>
      </w:r>
      <w:r w:rsidR="00041FD2" w:rsidRPr="0075321D">
        <w:rPr>
          <w:rStyle w:val="FootnoteReference"/>
          <w:sz w:val="22"/>
        </w:rPr>
        <w:footnoteReference w:id="9"/>
      </w:r>
      <w:r w:rsidR="00041FD2" w:rsidRPr="0075321D">
        <w:t xml:space="preserve">  </w:t>
      </w:r>
      <w:r w:rsidR="009B6725">
        <w:t>And he held that the sexual offense committed when Titus was an adult, and for which he was found guilty of a felony</w:t>
      </w:r>
      <w:r w:rsidR="00BE3645">
        <w:t xml:space="preserve"> and served 25 months in prison</w:t>
      </w:r>
      <w:r w:rsidR="009B6725">
        <w:t>, was “shockingly evil.”</w:t>
      </w:r>
      <w:r w:rsidR="009B6725">
        <w:rPr>
          <w:rStyle w:val="FootnoteReference"/>
        </w:rPr>
        <w:footnoteReference w:id="10"/>
      </w:r>
      <w:r w:rsidR="009B6725">
        <w:t xml:space="preserve">  But, the ALJ found, </w:t>
      </w:r>
      <w:r w:rsidR="00817C21" w:rsidRPr="0075321D">
        <w:t xml:space="preserve">only the adult conviction should be </w:t>
      </w:r>
      <w:r w:rsidR="00CB43E2" w:rsidRPr="0075321D">
        <w:t>considered</w:t>
      </w:r>
      <w:r w:rsidR="009B6725">
        <w:t xml:space="preserve"> at </w:t>
      </w:r>
      <w:r w:rsidR="009B6725">
        <w:lastRenderedPageBreak/>
        <w:t>all for purposes of this proceeding</w:t>
      </w:r>
      <w:r w:rsidR="00817C21" w:rsidRPr="0075321D">
        <w:t xml:space="preserve"> because </w:t>
      </w:r>
      <w:r w:rsidR="00817C21" w:rsidRPr="002E190D">
        <w:t>the</w:t>
      </w:r>
      <w:r w:rsidR="00817C21" w:rsidRPr="0075321D">
        <w:t xml:space="preserve"> juvenile adjudications occurred more than 10 years before this proceeding</w:t>
      </w:r>
      <w:r w:rsidR="00D62FDB">
        <w:t xml:space="preserve"> commenced</w:t>
      </w:r>
      <w:r w:rsidR="00817C21" w:rsidRPr="0075321D">
        <w:t>.</w:t>
      </w:r>
      <w:r w:rsidR="00817C21" w:rsidRPr="0075321D">
        <w:rPr>
          <w:rStyle w:val="FootnoteReference"/>
          <w:sz w:val="22"/>
        </w:rPr>
        <w:footnoteReference w:id="11"/>
      </w:r>
      <w:r w:rsidR="00817C21" w:rsidRPr="0075321D">
        <w:t xml:space="preserve">  </w:t>
      </w:r>
      <w:r w:rsidR="00BA6B2E" w:rsidRPr="0075321D">
        <w:t xml:space="preserve">The ALJ further </w:t>
      </w:r>
      <w:r w:rsidR="00D62FDB">
        <w:t>held</w:t>
      </w:r>
      <w:r w:rsidR="00D62FDB" w:rsidRPr="0075321D">
        <w:t xml:space="preserve"> </w:t>
      </w:r>
      <w:r w:rsidR="00BA6B2E" w:rsidRPr="0075321D">
        <w:t>that it was appropriate to consider mitigati</w:t>
      </w:r>
      <w:r w:rsidR="00BC5AF7" w:rsidRPr="0075321D">
        <w:t>ng</w:t>
      </w:r>
      <w:r w:rsidR="00BA6B2E" w:rsidRPr="0075321D">
        <w:t xml:space="preserve"> factors</w:t>
      </w:r>
      <w:r w:rsidR="00E1777A" w:rsidRPr="0075321D">
        <w:t xml:space="preserve">.  </w:t>
      </w:r>
      <w:r w:rsidR="00BA6B2E" w:rsidRPr="0075321D">
        <w:t xml:space="preserve"> </w:t>
      </w:r>
      <w:r w:rsidR="00BC5AF7" w:rsidRPr="0075321D">
        <w:t xml:space="preserve">In this regard, </w:t>
      </w:r>
      <w:r w:rsidR="00D62FDB">
        <w:t>he</w:t>
      </w:r>
      <w:r w:rsidR="00BC5AF7" w:rsidRPr="0075321D">
        <w:t xml:space="preserve"> found </w:t>
      </w:r>
      <w:r w:rsidR="00041FD2" w:rsidRPr="0075321D">
        <w:t xml:space="preserve">that a </w:t>
      </w:r>
      <w:r w:rsidR="00E52D8C" w:rsidRPr="0075321D">
        <w:t xml:space="preserve">substantial </w:t>
      </w:r>
      <w:r w:rsidR="00041FD2" w:rsidRPr="0075321D">
        <w:t>period of time had e</w:t>
      </w:r>
      <w:r w:rsidR="00E52D8C" w:rsidRPr="0075321D">
        <w:t>lapse</w:t>
      </w:r>
      <w:r w:rsidR="00041FD2" w:rsidRPr="0075321D">
        <w:t xml:space="preserve">d between the </w:t>
      </w:r>
      <w:r w:rsidR="00666889">
        <w:t xml:space="preserve">adult </w:t>
      </w:r>
      <w:r w:rsidR="00041FD2" w:rsidRPr="0075321D">
        <w:t xml:space="preserve">offense, which occurred </w:t>
      </w:r>
      <w:r w:rsidR="00E1777A" w:rsidRPr="0075321D">
        <w:t>in 1</w:t>
      </w:r>
      <w:r w:rsidR="00041FD2" w:rsidRPr="0075321D">
        <w:t xml:space="preserve">993 </w:t>
      </w:r>
      <w:r w:rsidR="00AE1868" w:rsidRPr="0075321D">
        <w:t>when Titus was 1</w:t>
      </w:r>
      <w:r w:rsidR="00C04BEA" w:rsidRPr="0075321D">
        <w:t>8</w:t>
      </w:r>
      <w:r w:rsidR="00AE1868" w:rsidRPr="0075321D">
        <w:t xml:space="preserve">, </w:t>
      </w:r>
      <w:r w:rsidR="00F94629" w:rsidRPr="0075321D">
        <w:t xml:space="preserve">and </w:t>
      </w:r>
      <w:r w:rsidR="00041FD2" w:rsidRPr="0075321D">
        <w:t>the</w:t>
      </w:r>
      <w:r w:rsidR="005D57B9" w:rsidRPr="0075321D">
        <w:t xml:space="preserve"> time of the </w:t>
      </w:r>
      <w:r w:rsidR="005E4A92" w:rsidRPr="0075321D">
        <w:t>I</w:t>
      </w:r>
      <w:r w:rsidR="005D57B9" w:rsidRPr="0075321D">
        <w:t xml:space="preserve">nitial </w:t>
      </w:r>
      <w:r w:rsidR="005E4A92" w:rsidRPr="0075321D">
        <w:t>D</w:t>
      </w:r>
      <w:r w:rsidR="005D57B9" w:rsidRPr="0075321D">
        <w:t>ecision, when Titus was 35.</w:t>
      </w:r>
      <w:r w:rsidR="00041FD2" w:rsidRPr="0075321D">
        <w:rPr>
          <w:rStyle w:val="FootnoteReference"/>
          <w:sz w:val="22"/>
        </w:rPr>
        <w:footnoteReference w:id="12"/>
      </w:r>
      <w:r w:rsidR="00041FD2" w:rsidRPr="0075321D">
        <w:t xml:space="preserve">   </w:t>
      </w:r>
      <w:r w:rsidR="00C045C8" w:rsidRPr="0075321D">
        <w:t>The ALJ found that the record contained credible evidence that in the interim Titus had been rehabilitated</w:t>
      </w:r>
      <w:r w:rsidR="007E2BA9" w:rsidRPr="0075321D">
        <w:t>,</w:t>
      </w:r>
      <w:r w:rsidR="00C045C8" w:rsidRPr="0075321D">
        <w:t xml:space="preserve"> as indicated by </w:t>
      </w:r>
      <w:r w:rsidR="005E4A92" w:rsidRPr="0075321D">
        <w:t>hi</w:t>
      </w:r>
      <w:r w:rsidR="00B55566" w:rsidRPr="0075321D">
        <w:t>s</w:t>
      </w:r>
      <w:r w:rsidR="00C045C8" w:rsidRPr="0075321D">
        <w:t xml:space="preserve"> lack of </w:t>
      </w:r>
      <w:r w:rsidR="00D62FDB">
        <w:t xml:space="preserve">new </w:t>
      </w:r>
      <w:r w:rsidR="00C045C8" w:rsidRPr="0075321D">
        <w:t xml:space="preserve">criminal </w:t>
      </w:r>
      <w:r w:rsidR="00D62FDB">
        <w:t>convictions,</w:t>
      </w:r>
      <w:r w:rsidR="00C045C8" w:rsidRPr="0075321D">
        <w:t xml:space="preserve"> the evaluation of a </w:t>
      </w:r>
      <w:r w:rsidR="009A2381" w:rsidRPr="0075321D">
        <w:t xml:space="preserve">consulting </w:t>
      </w:r>
      <w:r w:rsidR="00C045C8" w:rsidRPr="0075321D">
        <w:t>psychologist</w:t>
      </w:r>
      <w:r w:rsidR="00D62FDB">
        <w:t>,</w:t>
      </w:r>
      <w:r w:rsidR="00C045C8" w:rsidRPr="0075321D">
        <w:t xml:space="preserve"> </w:t>
      </w:r>
      <w:r w:rsidR="007E2BA9" w:rsidRPr="0075321D">
        <w:t xml:space="preserve">and </w:t>
      </w:r>
      <w:r w:rsidR="00C045C8" w:rsidRPr="0075321D">
        <w:t xml:space="preserve">the testimony of </w:t>
      </w:r>
      <w:r w:rsidR="00B225DA" w:rsidRPr="0075321D">
        <w:t xml:space="preserve">several </w:t>
      </w:r>
      <w:r w:rsidR="00C045C8" w:rsidRPr="0075321D">
        <w:t>character witnesses from the community</w:t>
      </w:r>
      <w:r w:rsidR="00D62FDB">
        <w:t xml:space="preserve"> (</w:t>
      </w:r>
      <w:r w:rsidR="005D57B9" w:rsidRPr="0075321D">
        <w:t>including a police officer, a corrections officer, a clergyman, and a school counselor</w:t>
      </w:r>
      <w:r w:rsidR="00D62FDB">
        <w:t>)</w:t>
      </w:r>
      <w:r w:rsidR="00C045C8" w:rsidRPr="0075321D">
        <w:t>.</w:t>
      </w:r>
      <w:r w:rsidR="00C045C8" w:rsidRPr="0075321D">
        <w:rPr>
          <w:rStyle w:val="FootnoteReference"/>
          <w:sz w:val="22"/>
        </w:rPr>
        <w:footnoteReference w:id="13"/>
      </w:r>
      <w:r w:rsidR="00C048C9" w:rsidRPr="0075321D">
        <w:t xml:space="preserve">  </w:t>
      </w:r>
      <w:r w:rsidR="00631516" w:rsidRPr="0075321D">
        <w:t xml:space="preserve">Further, </w:t>
      </w:r>
      <w:r w:rsidR="00C048C9" w:rsidRPr="0075321D">
        <w:t xml:space="preserve">the ALJ found </w:t>
      </w:r>
      <w:r w:rsidR="00D62FDB">
        <w:t xml:space="preserve">to be credible </w:t>
      </w:r>
      <w:r w:rsidR="00E7677F" w:rsidRPr="0075321D">
        <w:t>Titus’</w:t>
      </w:r>
      <w:r w:rsidR="00B55566" w:rsidRPr="0075321D">
        <w:t>s</w:t>
      </w:r>
      <w:r w:rsidR="00C048C9" w:rsidRPr="0075321D">
        <w:t xml:space="preserve"> testimony in this proceeding </w:t>
      </w:r>
      <w:r w:rsidR="00C421F8" w:rsidRPr="0075321D">
        <w:t>expressing remorse about his past offenses and asserting th</w:t>
      </w:r>
      <w:r w:rsidR="00C50765" w:rsidRPr="0075321D">
        <w:t>at</w:t>
      </w:r>
      <w:r w:rsidR="00C421F8" w:rsidRPr="0075321D">
        <w:t xml:space="preserve"> he was now rehabilitated</w:t>
      </w:r>
      <w:r w:rsidR="00C048C9" w:rsidRPr="0075321D">
        <w:t>.</w:t>
      </w:r>
      <w:r w:rsidR="00882DCB" w:rsidRPr="0075321D">
        <w:rPr>
          <w:rStyle w:val="FootnoteReference"/>
          <w:sz w:val="22"/>
        </w:rPr>
        <w:footnoteReference w:id="14"/>
      </w:r>
      <w:r w:rsidR="007E2BA9" w:rsidRPr="0075321D">
        <w:t xml:space="preserve">  </w:t>
      </w:r>
    </w:p>
    <w:p w:rsidR="00F0169A" w:rsidRDefault="007E2BA9" w:rsidP="00B53D22">
      <w:pPr>
        <w:pStyle w:val="ParaNum"/>
      </w:pPr>
      <w:r w:rsidRPr="0075321D">
        <w:t xml:space="preserve">The ALJ </w:t>
      </w:r>
      <w:r w:rsidR="00B55566" w:rsidRPr="0075321D">
        <w:t xml:space="preserve">also </w:t>
      </w:r>
      <w:r w:rsidR="00631516" w:rsidRPr="0075321D">
        <w:t>concluded that EB presented no credible evidence that Titus was a high</w:t>
      </w:r>
      <w:r w:rsidR="002E1B98">
        <w:t>-</w:t>
      </w:r>
      <w:r w:rsidR="00631516" w:rsidRPr="0075321D">
        <w:t xml:space="preserve">risk sex offender.  In particular, the ALJ found unpersuasive evidence that </w:t>
      </w:r>
      <w:r w:rsidR="00D62FDB">
        <w:t xml:space="preserve">in 2004 </w:t>
      </w:r>
      <w:r w:rsidR="00280A80" w:rsidRPr="0075321D">
        <w:t xml:space="preserve">the </w:t>
      </w:r>
      <w:r w:rsidRPr="0075321D">
        <w:t xml:space="preserve">Seattle Police Department </w:t>
      </w:r>
      <w:r w:rsidR="00D62FDB">
        <w:t xml:space="preserve">had </w:t>
      </w:r>
      <w:r w:rsidRPr="0075321D">
        <w:t>modif</w:t>
      </w:r>
      <w:r w:rsidR="008606F8" w:rsidRPr="0075321D">
        <w:t>ied</w:t>
      </w:r>
      <w:r w:rsidRPr="0075321D">
        <w:t xml:space="preserve"> </w:t>
      </w:r>
      <w:r w:rsidR="00E7677F" w:rsidRPr="0075321D">
        <w:t>Titus’</w:t>
      </w:r>
      <w:r w:rsidR="00B55566" w:rsidRPr="0075321D">
        <w:t>s</w:t>
      </w:r>
      <w:r w:rsidRPr="0075321D">
        <w:t xml:space="preserve"> </w:t>
      </w:r>
      <w:r w:rsidR="00D62FDB">
        <w:t xml:space="preserve">sex-offender </w:t>
      </w:r>
      <w:r w:rsidRPr="0075321D">
        <w:t xml:space="preserve">classification </w:t>
      </w:r>
      <w:r w:rsidRPr="002E190D">
        <w:t>from</w:t>
      </w:r>
      <w:r w:rsidRPr="0075321D">
        <w:t xml:space="preserve"> “moderate risk” to “high risk” </w:t>
      </w:r>
      <w:r w:rsidR="00D62FDB">
        <w:t xml:space="preserve">based on </w:t>
      </w:r>
      <w:r w:rsidRPr="0075321D">
        <w:t>two incidents</w:t>
      </w:r>
      <w:r w:rsidR="009361BF" w:rsidRPr="0075321D">
        <w:t xml:space="preserve"> </w:t>
      </w:r>
      <w:r w:rsidR="00D62FDB">
        <w:t xml:space="preserve">that occurred </w:t>
      </w:r>
      <w:r w:rsidR="009361BF" w:rsidRPr="0075321D">
        <w:t>in 2002 and 2004</w:t>
      </w:r>
      <w:r w:rsidR="00E1777A" w:rsidRPr="0075321D">
        <w:t xml:space="preserve">.  </w:t>
      </w:r>
      <w:r w:rsidR="009361BF" w:rsidRPr="0075321D">
        <w:t xml:space="preserve"> </w:t>
      </w:r>
      <w:r w:rsidR="00E1777A" w:rsidRPr="0075321D">
        <w:t>In 2002, Titus was involved in an altercation in which</w:t>
      </w:r>
      <w:r w:rsidR="00D62FDB">
        <w:t>, after a minor traffic accident,</w:t>
      </w:r>
      <w:r w:rsidR="00E1777A" w:rsidRPr="0075321D">
        <w:t xml:space="preserve"> Titus twisted the </w:t>
      </w:r>
      <w:r w:rsidR="00D62FDB">
        <w:t xml:space="preserve">other driver’s </w:t>
      </w:r>
      <w:r w:rsidR="00E1777A" w:rsidRPr="0075321D">
        <w:t>hand</w:t>
      </w:r>
      <w:r w:rsidR="0007339C">
        <w:t>.</w:t>
      </w:r>
      <w:r w:rsidR="00EC40D3">
        <w:rPr>
          <w:rStyle w:val="FootnoteReference"/>
        </w:rPr>
        <w:footnoteReference w:id="15"/>
      </w:r>
      <w:r w:rsidR="0007339C">
        <w:t xml:space="preserve">  </w:t>
      </w:r>
      <w:r w:rsidR="00E1777A" w:rsidRPr="0075321D">
        <w:t xml:space="preserve">In 2004, Titus was </w:t>
      </w:r>
      <w:r w:rsidR="00C972BF">
        <w:t xml:space="preserve">stopped </w:t>
      </w:r>
      <w:r w:rsidR="00667559">
        <w:t xml:space="preserve">by the police at 3 a.m. </w:t>
      </w:r>
      <w:r w:rsidR="00E1777A" w:rsidRPr="0075321D">
        <w:t xml:space="preserve">in a public restroom in </w:t>
      </w:r>
      <w:r w:rsidR="00667559">
        <w:t>a closed park</w:t>
      </w:r>
      <w:r w:rsidR="00E1777A" w:rsidRPr="0075321D">
        <w:t>.</w:t>
      </w:r>
      <w:r w:rsidR="003D6C28">
        <w:rPr>
          <w:rStyle w:val="FootnoteReference"/>
        </w:rPr>
        <w:footnoteReference w:id="16"/>
      </w:r>
      <w:r w:rsidR="00E1777A" w:rsidRPr="0075321D">
        <w:t xml:space="preserve">  He had in his possession or in his vehicle a miniature police medallion, a sheriff’s cap, and a police-style flashlight.</w:t>
      </w:r>
      <w:r w:rsidR="00E1777A" w:rsidRPr="0075321D">
        <w:rPr>
          <w:rStyle w:val="FootnoteReference"/>
          <w:sz w:val="22"/>
        </w:rPr>
        <w:footnoteReference w:id="17"/>
      </w:r>
      <w:r w:rsidR="00E1777A" w:rsidRPr="0075321D">
        <w:t xml:space="preserve">  </w:t>
      </w:r>
      <w:r w:rsidR="00B225DA" w:rsidRPr="0075321D">
        <w:t>T</w:t>
      </w:r>
      <w:r w:rsidR="0052475C" w:rsidRPr="0075321D">
        <w:t xml:space="preserve">he ALJ found that there had been no showing that the two incidents had any relevance to </w:t>
      </w:r>
      <w:r w:rsidR="00E7677F" w:rsidRPr="0075321D">
        <w:t>Titus’</w:t>
      </w:r>
      <w:r w:rsidR="00B55566" w:rsidRPr="0075321D">
        <w:t>s</w:t>
      </w:r>
      <w:r w:rsidR="0052475C" w:rsidRPr="0075321D">
        <w:t xml:space="preserve"> </w:t>
      </w:r>
      <w:r w:rsidR="009361BF" w:rsidRPr="0075321D">
        <w:t>fitness to hold a license</w:t>
      </w:r>
      <w:r w:rsidR="00E1777A" w:rsidRPr="0075321D">
        <w:t xml:space="preserve"> because the conduct was not sexual, did not involve children, and did not result in criminal charges.</w:t>
      </w:r>
      <w:r w:rsidR="00E1777A" w:rsidRPr="0075321D">
        <w:rPr>
          <w:rStyle w:val="FootnoteReference"/>
          <w:sz w:val="22"/>
        </w:rPr>
        <w:footnoteReference w:id="18"/>
      </w:r>
      <w:r w:rsidR="00DD3C9F" w:rsidRPr="0075321D">
        <w:t xml:space="preserve">  </w:t>
      </w:r>
      <w:r w:rsidR="008606F8" w:rsidRPr="0075321D">
        <w:t>The ALJ also rejected a showing by the Seattle Police that the Washington State Sex Off</w:t>
      </w:r>
      <w:r w:rsidR="001B3EDC" w:rsidRPr="0075321D">
        <w:t>e</w:t>
      </w:r>
      <w:r w:rsidR="008606F8" w:rsidRPr="0075321D">
        <w:t xml:space="preserve">nder Screening Tool (WASOST) </w:t>
      </w:r>
      <w:r w:rsidR="007D1629" w:rsidRPr="0075321D">
        <w:t>c</w:t>
      </w:r>
      <w:r w:rsidR="008606F8" w:rsidRPr="0075321D">
        <w:t>onfirmed that Titus should be classified as a high risk offender</w:t>
      </w:r>
      <w:r w:rsidR="003D2545" w:rsidRPr="0075321D">
        <w:t>, finding the test “non-probative” and “defective</w:t>
      </w:r>
      <w:r w:rsidR="008606F8" w:rsidRPr="0075321D">
        <w:t>.</w:t>
      </w:r>
      <w:r w:rsidR="003D2545" w:rsidRPr="0075321D">
        <w:t>”</w:t>
      </w:r>
      <w:r w:rsidR="007D1629" w:rsidRPr="0075321D">
        <w:rPr>
          <w:rStyle w:val="FootnoteReference"/>
          <w:sz w:val="22"/>
        </w:rPr>
        <w:footnoteReference w:id="19"/>
      </w:r>
      <w:r w:rsidR="005E5A07" w:rsidRPr="0075321D">
        <w:t xml:space="preserve">  In light of this evidence, the ALJ found that EB had not met its burden to prove “non-rehabilitation” by a preponderance of the evidence.</w:t>
      </w:r>
      <w:r w:rsidR="005E5A07" w:rsidRPr="0075321D">
        <w:rPr>
          <w:rStyle w:val="FootnoteReference"/>
          <w:sz w:val="22"/>
        </w:rPr>
        <w:footnoteReference w:id="20"/>
      </w:r>
      <w:r w:rsidR="008606F8" w:rsidRPr="0075321D">
        <w:t xml:space="preserve">   </w:t>
      </w:r>
    </w:p>
    <w:p w:rsidR="00F0169A" w:rsidRDefault="00DD3C9F" w:rsidP="002E190D">
      <w:pPr>
        <w:pStyle w:val="ParaNum"/>
      </w:pPr>
      <w:r w:rsidRPr="0075321D">
        <w:lastRenderedPageBreak/>
        <w:t xml:space="preserve">By a separate order, the ALJ denied EB’s motions to introduce </w:t>
      </w:r>
      <w:r w:rsidR="00621747" w:rsidRPr="0075321D">
        <w:t xml:space="preserve">testimony by an expert on sex offenders to rebut the testimony of </w:t>
      </w:r>
      <w:r w:rsidR="00E7677F" w:rsidRPr="0075321D">
        <w:t>Titus’s</w:t>
      </w:r>
      <w:r w:rsidR="00621747" w:rsidRPr="0075321D">
        <w:t xml:space="preserve"> consulting psychologist and further evidence about the</w:t>
      </w:r>
      <w:r w:rsidRPr="0075321D">
        <w:t xml:space="preserve"> two incidents</w:t>
      </w:r>
      <w:r w:rsidR="00065282" w:rsidRPr="0075321D">
        <w:t xml:space="preserve"> t</w:t>
      </w:r>
      <w:r w:rsidR="00621747" w:rsidRPr="0075321D">
        <w:t xml:space="preserve">o show that Titus had lacked candor in his testimony about these </w:t>
      </w:r>
      <w:r w:rsidR="001A259B" w:rsidRPr="0075321D">
        <w:t>events</w:t>
      </w:r>
      <w:r w:rsidR="00621747" w:rsidRPr="0075321D">
        <w:t>.</w:t>
      </w:r>
      <w:r w:rsidR="00572312" w:rsidRPr="0075321D">
        <w:t xml:space="preserve">  The ALJ </w:t>
      </w:r>
      <w:r w:rsidR="0037706F" w:rsidRPr="0075321D">
        <w:t>found that EB’s</w:t>
      </w:r>
      <w:r w:rsidR="00572312" w:rsidRPr="0075321D">
        <w:t xml:space="preserve"> rebuttal showing</w:t>
      </w:r>
      <w:r w:rsidR="0037706F" w:rsidRPr="0075321D">
        <w:t xml:space="preserve"> was untimely and lacking </w:t>
      </w:r>
      <w:r w:rsidR="00CB43E2" w:rsidRPr="0075321D">
        <w:t>in probative</w:t>
      </w:r>
      <w:r w:rsidR="00572312" w:rsidRPr="0075321D">
        <w:t xml:space="preserve"> value.</w:t>
      </w:r>
      <w:r w:rsidR="0037706F" w:rsidRPr="0075321D">
        <w:rPr>
          <w:rStyle w:val="FootnoteReference"/>
          <w:sz w:val="22"/>
        </w:rPr>
        <w:footnoteReference w:id="21"/>
      </w:r>
      <w:r w:rsidR="0004379B" w:rsidRPr="0075321D">
        <w:t xml:space="preserve"> </w:t>
      </w:r>
    </w:p>
    <w:p w:rsidR="00F0169A" w:rsidRDefault="0049044E" w:rsidP="002E190D">
      <w:pPr>
        <w:pStyle w:val="ParaNum"/>
      </w:pPr>
      <w:r w:rsidRPr="0075321D">
        <w:rPr>
          <w:b/>
        </w:rPr>
        <w:t xml:space="preserve">Exceptions.  </w:t>
      </w:r>
      <w:r w:rsidR="00236235" w:rsidRPr="0075321D">
        <w:t>Now before the Commission are EB’s exceptions to the initial decision.</w:t>
      </w:r>
      <w:r w:rsidR="00827A7D" w:rsidRPr="0075321D">
        <w:rPr>
          <w:rStyle w:val="FootnoteReference"/>
          <w:sz w:val="22"/>
        </w:rPr>
        <w:footnoteReference w:id="22"/>
      </w:r>
      <w:r w:rsidR="00B225DA" w:rsidRPr="0075321D">
        <w:t xml:space="preserve">  </w:t>
      </w:r>
      <w:r w:rsidR="00726DE2" w:rsidRPr="0075321D">
        <w:t xml:space="preserve">EB contends that the ALJ’s analysis does not comport with Commission precedent regarding character and </w:t>
      </w:r>
      <w:r w:rsidR="00454391" w:rsidRPr="0075321D">
        <w:t>does</w:t>
      </w:r>
      <w:r w:rsidR="00726DE2" w:rsidRPr="0075321D">
        <w:t xml:space="preserve"> not </w:t>
      </w:r>
      <w:r w:rsidR="002D1E8C" w:rsidRPr="0075321D">
        <w:t xml:space="preserve">accurately appraise the evidence.  </w:t>
      </w:r>
      <w:r w:rsidR="000D653B" w:rsidRPr="0075321D">
        <w:t xml:space="preserve">First, </w:t>
      </w:r>
      <w:r w:rsidR="002D1E8C" w:rsidRPr="0075321D">
        <w:t>EB</w:t>
      </w:r>
      <w:r w:rsidR="000D653B" w:rsidRPr="0075321D">
        <w:t xml:space="preserve"> argues that the ALJ failed to consider the number and nature of </w:t>
      </w:r>
      <w:r w:rsidR="00E7677F" w:rsidRPr="0075321D">
        <w:t>Titus’s</w:t>
      </w:r>
      <w:r w:rsidR="000D653B" w:rsidRPr="0075321D">
        <w:t xml:space="preserve"> egregious </w:t>
      </w:r>
      <w:r w:rsidR="00CB43E2" w:rsidRPr="0075321D">
        <w:t>sexual</w:t>
      </w:r>
      <w:r w:rsidR="000D653B" w:rsidRPr="0075321D">
        <w:t xml:space="preserve"> offenses</w:t>
      </w:r>
      <w:r w:rsidR="002D1E8C" w:rsidRPr="0075321D">
        <w:t>,</w:t>
      </w:r>
      <w:r w:rsidR="000D653B" w:rsidRPr="0075321D">
        <w:t xml:space="preserve"> which should be considered </w:t>
      </w:r>
      <w:r w:rsidR="002D1E8C" w:rsidRPr="0075321D">
        <w:t>disqualifying despite the passage of time</w:t>
      </w:r>
      <w:r w:rsidR="000D653B" w:rsidRPr="0075321D">
        <w:t xml:space="preserve">.  In particular, EB argues that the ALJ should have considered </w:t>
      </w:r>
      <w:r w:rsidR="00E7677F" w:rsidRPr="0075321D">
        <w:t>Titus’s</w:t>
      </w:r>
      <w:r w:rsidR="000D653B" w:rsidRPr="0075321D">
        <w:t xml:space="preserve"> juvenile adjudications although they occurred more than 10 years before</w:t>
      </w:r>
      <w:r w:rsidR="005821FB">
        <w:t xml:space="preserve"> the </w:t>
      </w:r>
      <w:r w:rsidR="004A2D59">
        <w:t xml:space="preserve">Order to Show Cause </w:t>
      </w:r>
      <w:r w:rsidR="005821FB">
        <w:t>issued</w:t>
      </w:r>
      <w:r w:rsidR="000D653B" w:rsidRPr="0075321D">
        <w:t>.</w:t>
      </w:r>
      <w:r w:rsidR="00643B62" w:rsidRPr="0075321D">
        <w:rPr>
          <w:rStyle w:val="FootnoteReference"/>
          <w:sz w:val="22"/>
        </w:rPr>
        <w:footnoteReference w:id="23"/>
      </w:r>
      <w:r w:rsidR="002D1E8C" w:rsidRPr="0075321D">
        <w:t xml:space="preserve">  </w:t>
      </w:r>
      <w:r w:rsidR="000D653B" w:rsidRPr="0075321D">
        <w:t xml:space="preserve"> </w:t>
      </w:r>
      <w:r w:rsidR="00234968" w:rsidRPr="0075321D">
        <w:t xml:space="preserve">Second, EB asserts that the ALJ improperly assessed the evidence at the hearing.  </w:t>
      </w:r>
      <w:r w:rsidR="002D1E8C" w:rsidRPr="0075321D">
        <w:t xml:space="preserve">EB </w:t>
      </w:r>
      <w:r w:rsidR="00234968" w:rsidRPr="0075321D">
        <w:t xml:space="preserve">maintains that </w:t>
      </w:r>
      <w:r w:rsidR="002D1E8C" w:rsidRPr="0075321D">
        <w:t xml:space="preserve">that the ALJ should have given </w:t>
      </w:r>
      <w:r w:rsidR="0068312F" w:rsidRPr="0075321D">
        <w:t xml:space="preserve">more </w:t>
      </w:r>
      <w:r w:rsidR="002D1E8C" w:rsidRPr="0075321D">
        <w:t xml:space="preserve">weight </w:t>
      </w:r>
      <w:r w:rsidR="0068312F" w:rsidRPr="0075321D">
        <w:t xml:space="preserve">to the incidents in 2002 and 2004 </w:t>
      </w:r>
      <w:r w:rsidR="002D1E8C" w:rsidRPr="0075321D">
        <w:t xml:space="preserve">that prompted the Seattle Police </w:t>
      </w:r>
      <w:r w:rsidR="001A25B5" w:rsidRPr="0075321D">
        <w:t xml:space="preserve">Department </w:t>
      </w:r>
      <w:r w:rsidR="002D1E8C" w:rsidRPr="0075321D">
        <w:t xml:space="preserve">to raise </w:t>
      </w:r>
      <w:r w:rsidR="00E7677F" w:rsidRPr="0075321D">
        <w:t>Titus’</w:t>
      </w:r>
      <w:r w:rsidR="00B55566" w:rsidRPr="0075321D">
        <w:t>s</w:t>
      </w:r>
      <w:r w:rsidR="002D1E8C" w:rsidRPr="0075321D">
        <w:t xml:space="preserve"> </w:t>
      </w:r>
      <w:r w:rsidR="001047EB" w:rsidRPr="0075321D">
        <w:t xml:space="preserve">assessed </w:t>
      </w:r>
      <w:r w:rsidR="004B6B93" w:rsidRPr="0075321D">
        <w:t>risk level from moderate to high</w:t>
      </w:r>
      <w:r w:rsidR="005821FB">
        <w:t>,</w:t>
      </w:r>
      <w:r w:rsidR="00234968" w:rsidRPr="0075321D">
        <w:t xml:space="preserve"> and </w:t>
      </w:r>
      <w:r w:rsidR="005821FB">
        <w:t xml:space="preserve">should have </w:t>
      </w:r>
      <w:r w:rsidR="00234968" w:rsidRPr="0075321D">
        <w:t xml:space="preserve">credited the </w:t>
      </w:r>
      <w:r w:rsidR="00A754F5">
        <w:t xml:space="preserve">State’s </w:t>
      </w:r>
      <w:r w:rsidR="00234968" w:rsidRPr="0075321D">
        <w:t>use of the WASOST inventory</w:t>
      </w:r>
      <w:r w:rsidR="004B6B93" w:rsidRPr="0075321D">
        <w:t>.</w:t>
      </w:r>
      <w:r w:rsidR="00643B62" w:rsidRPr="0075321D">
        <w:rPr>
          <w:rStyle w:val="FootnoteReference"/>
          <w:sz w:val="22"/>
        </w:rPr>
        <w:footnoteReference w:id="24"/>
      </w:r>
      <w:r w:rsidR="004B6B93" w:rsidRPr="0075321D">
        <w:t xml:space="preserve">  </w:t>
      </w:r>
      <w:r w:rsidR="00832CF0" w:rsidRPr="0075321D">
        <w:t>In EB’s view, the ALJ should have defer</w:t>
      </w:r>
      <w:r w:rsidR="009E05DE" w:rsidRPr="0075321D">
        <w:t>red</w:t>
      </w:r>
      <w:r w:rsidR="00832CF0" w:rsidRPr="0075321D">
        <w:t xml:space="preserve"> to the Seattle Police Department’s judgment</w:t>
      </w:r>
      <w:r w:rsidR="00234968" w:rsidRPr="0075321D">
        <w:t xml:space="preserve"> in this regard.  </w:t>
      </w:r>
      <w:r w:rsidR="00832CF0" w:rsidRPr="0075321D">
        <w:t xml:space="preserve">Further, EB asserts that the ALJ gave unwarranted weight to the testimony of </w:t>
      </w:r>
      <w:r w:rsidR="00E7677F" w:rsidRPr="0075321D">
        <w:t>Titus’</w:t>
      </w:r>
      <w:r w:rsidR="00B55566" w:rsidRPr="0075321D">
        <w:t>s</w:t>
      </w:r>
      <w:r w:rsidR="00832CF0" w:rsidRPr="0075321D">
        <w:t xml:space="preserve"> </w:t>
      </w:r>
      <w:r w:rsidR="001A25B5" w:rsidRPr="0075321D">
        <w:t xml:space="preserve">consulting </w:t>
      </w:r>
      <w:r w:rsidR="00832CF0" w:rsidRPr="0075321D">
        <w:t xml:space="preserve">psychologist and character witnesses and had no basis for evaluating </w:t>
      </w:r>
      <w:r w:rsidR="00E7677F" w:rsidRPr="0075321D">
        <w:t>Titus’</w:t>
      </w:r>
      <w:r w:rsidR="00B55566" w:rsidRPr="0075321D">
        <w:t>s</w:t>
      </w:r>
      <w:r w:rsidR="00832CF0" w:rsidRPr="0075321D">
        <w:t xml:space="preserve"> credibility favorably.</w:t>
      </w:r>
      <w:r w:rsidR="00643B62" w:rsidRPr="0075321D">
        <w:rPr>
          <w:rStyle w:val="FootnoteReference"/>
          <w:sz w:val="22"/>
        </w:rPr>
        <w:footnoteReference w:id="25"/>
      </w:r>
      <w:r w:rsidR="00832CF0" w:rsidRPr="0075321D">
        <w:t xml:space="preserve">  </w:t>
      </w:r>
      <w:r w:rsidR="00984CEF" w:rsidRPr="0075321D">
        <w:t>EB maintains that the ALJ ignored the danger to children posed when a sex offender has access to amateur radio.</w:t>
      </w:r>
      <w:r w:rsidR="00643B62" w:rsidRPr="0075321D">
        <w:rPr>
          <w:rStyle w:val="FootnoteReference"/>
          <w:sz w:val="22"/>
        </w:rPr>
        <w:footnoteReference w:id="26"/>
      </w:r>
      <w:r w:rsidR="00984CEF" w:rsidRPr="0075321D">
        <w:t xml:space="preserve">  Finally, EB argues that the ALJ improperly excluded EB’s rebuttal evidence</w:t>
      </w:r>
      <w:r w:rsidR="0068312F" w:rsidRPr="0075321D">
        <w:t>.  EB represents that this evidence w</w:t>
      </w:r>
      <w:r w:rsidR="00984CEF" w:rsidRPr="0075321D">
        <w:t xml:space="preserve">ould have </w:t>
      </w:r>
      <w:r w:rsidR="00CB0DBC" w:rsidRPr="0075321D">
        <w:t xml:space="preserve">contradicted the testimony of </w:t>
      </w:r>
      <w:r w:rsidR="00E7677F" w:rsidRPr="0075321D">
        <w:t>Titus’</w:t>
      </w:r>
      <w:r w:rsidR="00B55566" w:rsidRPr="0075321D">
        <w:t>s</w:t>
      </w:r>
      <w:r w:rsidR="00CB0DBC" w:rsidRPr="0075321D">
        <w:t xml:space="preserve"> </w:t>
      </w:r>
      <w:r w:rsidR="00A42373" w:rsidRPr="0075321D">
        <w:t xml:space="preserve">consulting </w:t>
      </w:r>
      <w:r w:rsidR="00CB0DBC" w:rsidRPr="0075321D">
        <w:t>psy</w:t>
      </w:r>
      <w:r w:rsidR="00A42373" w:rsidRPr="0075321D">
        <w:t>chologist</w:t>
      </w:r>
      <w:r w:rsidR="00CB0DBC" w:rsidRPr="0075321D">
        <w:t xml:space="preserve"> and </w:t>
      </w:r>
      <w:r w:rsidR="00D7551C" w:rsidRPr="0075321D">
        <w:t xml:space="preserve">showed that Titus did not testify candidly about certain aspects of </w:t>
      </w:r>
      <w:r w:rsidR="00CB0DBC" w:rsidRPr="0075321D">
        <w:t xml:space="preserve">the </w:t>
      </w:r>
      <w:r w:rsidR="0068312F" w:rsidRPr="0075321D">
        <w:t xml:space="preserve">2002 and 2004 </w:t>
      </w:r>
      <w:r w:rsidR="00D7551C" w:rsidRPr="0075321D">
        <w:t>incidents</w:t>
      </w:r>
      <w:r w:rsidR="00CB0DBC" w:rsidRPr="0075321D">
        <w:t>.</w:t>
      </w:r>
      <w:r w:rsidR="00643B62" w:rsidRPr="0075321D">
        <w:rPr>
          <w:rStyle w:val="FootnoteReference"/>
          <w:sz w:val="22"/>
        </w:rPr>
        <w:footnoteReference w:id="27"/>
      </w:r>
      <w:r w:rsidR="00882DCB" w:rsidRPr="0075321D">
        <w:t xml:space="preserve">  </w:t>
      </w:r>
    </w:p>
    <w:p w:rsidR="00F0169A" w:rsidRDefault="00E7677F" w:rsidP="002E190D">
      <w:pPr>
        <w:pStyle w:val="ParaNum"/>
      </w:pPr>
      <w:r w:rsidRPr="0075321D">
        <w:t>Also before the Commission is Titus’s reply to EB’s exceptions.</w:t>
      </w:r>
      <w:r w:rsidRPr="0075321D">
        <w:rPr>
          <w:rStyle w:val="FootnoteReference"/>
          <w:sz w:val="22"/>
        </w:rPr>
        <w:footnoteReference w:id="28"/>
      </w:r>
      <w:r w:rsidRPr="0075321D">
        <w:t xml:space="preserve">  Titus filed his reply on April 26, 2010, five days after the deadline </w:t>
      </w:r>
      <w:r w:rsidRPr="002E190D">
        <w:t>established</w:t>
      </w:r>
      <w:r w:rsidRPr="0075321D">
        <w:t xml:space="preserve"> by the Commission’s rules.</w:t>
      </w:r>
      <w:r w:rsidRPr="0075321D">
        <w:rPr>
          <w:rStyle w:val="FootnoteReference"/>
          <w:sz w:val="22"/>
        </w:rPr>
        <w:footnoteReference w:id="29"/>
      </w:r>
      <w:r w:rsidRPr="0075321D">
        <w:t xml:space="preserve"> </w:t>
      </w:r>
      <w:r w:rsidR="00A541D0" w:rsidRPr="0075321D">
        <w:t xml:space="preserve">  Titus acknowledges </w:t>
      </w:r>
      <w:r w:rsidR="000C457A" w:rsidRPr="0075321D">
        <w:t>his error</w:t>
      </w:r>
      <w:r w:rsidR="00A541D0" w:rsidRPr="0075321D">
        <w:t xml:space="preserve">, which he attributes to the fact that his “counsel inadvertently misapprehended the due date,” </w:t>
      </w:r>
      <w:r w:rsidR="00A541D0" w:rsidRPr="0075321D">
        <w:lastRenderedPageBreak/>
        <w:t xml:space="preserve">but asks the Commission to waive the filing deadline and accept his late-filed </w:t>
      </w:r>
      <w:r w:rsidR="0075220D" w:rsidRPr="0075321D">
        <w:t>reply</w:t>
      </w:r>
      <w:r w:rsidR="00A541D0" w:rsidRPr="0075321D">
        <w:t>.</w:t>
      </w:r>
      <w:r w:rsidR="00A541D0" w:rsidRPr="0075321D">
        <w:rPr>
          <w:rStyle w:val="FootnoteReference"/>
          <w:sz w:val="22"/>
        </w:rPr>
        <w:footnoteReference w:id="30"/>
      </w:r>
      <w:r w:rsidR="00A541D0" w:rsidRPr="0075321D">
        <w:t xml:space="preserve">  </w:t>
      </w:r>
      <w:r w:rsidR="00EE4A0E" w:rsidRPr="0075321D">
        <w:t>Titus contends that “[f]oreclosing his response to the Exceptions would be ineq</w:t>
      </w:r>
      <w:r w:rsidR="00D7125C" w:rsidRPr="0075321D">
        <w:t xml:space="preserve">uitable and unduly prejudicial </w:t>
      </w:r>
      <w:r w:rsidR="00EE4A0E" w:rsidRPr="0075321D">
        <w:t>to him,” and that “[t]he short enlargement of time will result in no prejudice to any party or the public.”</w:t>
      </w:r>
      <w:r w:rsidR="00A85496" w:rsidRPr="0075321D">
        <w:rPr>
          <w:rStyle w:val="FootnoteReference"/>
        </w:rPr>
        <w:footnoteReference w:id="31"/>
      </w:r>
      <w:r w:rsidR="00EE4A0E" w:rsidRPr="0075321D">
        <w:t xml:space="preserve">  </w:t>
      </w:r>
      <w:r w:rsidR="00A541D0" w:rsidRPr="0075321D">
        <w:t>EB opposes Titus’s request</w:t>
      </w:r>
      <w:r w:rsidR="00EE4A0E" w:rsidRPr="0075321D">
        <w:t xml:space="preserve">, arguing that he failed to demonstrate good cause for </w:t>
      </w:r>
      <w:r w:rsidR="0089010C" w:rsidRPr="0075321D">
        <w:t>waiver of the applicable filing deadline</w:t>
      </w:r>
      <w:r w:rsidR="00A541D0" w:rsidRPr="0075321D">
        <w:t>.</w:t>
      </w:r>
      <w:r w:rsidR="000C457A" w:rsidRPr="0075321D">
        <w:rPr>
          <w:rStyle w:val="FootnoteReference"/>
          <w:sz w:val="22"/>
        </w:rPr>
        <w:footnoteReference w:id="32"/>
      </w:r>
      <w:r w:rsidR="00A541D0" w:rsidRPr="0075321D">
        <w:t xml:space="preserve"> </w:t>
      </w:r>
    </w:p>
    <w:p w:rsidR="007D4F91" w:rsidRDefault="00062179" w:rsidP="00B53D22">
      <w:pPr>
        <w:pStyle w:val="Heading1"/>
      </w:pPr>
      <w:r w:rsidRPr="00B53D22">
        <w:t>DISCUSSION</w:t>
      </w:r>
    </w:p>
    <w:p w:rsidR="00F0169A" w:rsidRDefault="00051779" w:rsidP="002E190D">
      <w:pPr>
        <w:pStyle w:val="ParaNum"/>
      </w:pPr>
      <w:r>
        <w:rPr>
          <w:b/>
          <w:color w:val="000000" w:themeColor="text1"/>
        </w:rPr>
        <w:t>Late filing of Titus’s reply.</w:t>
      </w:r>
      <w:r w:rsidR="008F6257" w:rsidRPr="0075321D">
        <w:rPr>
          <w:color w:val="000000" w:themeColor="text1"/>
        </w:rPr>
        <w:t xml:space="preserve">  </w:t>
      </w:r>
      <w:r w:rsidR="00031E35" w:rsidRPr="0075321D">
        <w:rPr>
          <w:color w:val="000000" w:themeColor="text1"/>
        </w:rPr>
        <w:t>Before</w:t>
      </w:r>
      <w:r w:rsidR="0089010C" w:rsidRPr="0075321D">
        <w:rPr>
          <w:color w:val="000000" w:themeColor="text1"/>
        </w:rPr>
        <w:t xml:space="preserve"> turning to</w:t>
      </w:r>
      <w:r w:rsidR="00031E35" w:rsidRPr="0075321D">
        <w:rPr>
          <w:color w:val="000000" w:themeColor="text1"/>
        </w:rPr>
        <w:t xml:space="preserve"> EB’s exceptions to the ALJ’s initial decision, we first address Titus’s motion to </w:t>
      </w:r>
      <w:r w:rsidR="00A754F5">
        <w:rPr>
          <w:color w:val="000000" w:themeColor="text1"/>
        </w:rPr>
        <w:t xml:space="preserve">have us </w:t>
      </w:r>
      <w:r w:rsidR="00031E35" w:rsidRPr="0075321D">
        <w:rPr>
          <w:color w:val="000000" w:themeColor="text1"/>
        </w:rPr>
        <w:t>accept his late-filed reply.  Section 1.46 of the Commission’s rules provides that “[i]t is the policy of the Commission that extensions of time shall not be routinely granted.”</w:t>
      </w:r>
      <w:r w:rsidR="00C11AAB" w:rsidRPr="0075321D">
        <w:rPr>
          <w:rStyle w:val="FootnoteReference"/>
          <w:color w:val="000000" w:themeColor="text1"/>
          <w:sz w:val="22"/>
        </w:rPr>
        <w:footnoteReference w:id="33"/>
      </w:r>
      <w:r w:rsidR="00031E35" w:rsidRPr="0075321D">
        <w:rPr>
          <w:color w:val="000000" w:themeColor="text1"/>
        </w:rPr>
        <w:t xml:space="preserve">   We further note that the U.S. Court of Appeals for the D.C. Circuit has repeatedly “discourage[d] the Commission from entertaining late-filed pleadings ‘in the absence of extremely unusual circumstances.’”</w:t>
      </w:r>
      <w:r w:rsidR="00031E35" w:rsidRPr="0075321D">
        <w:rPr>
          <w:rStyle w:val="FootnoteReference"/>
          <w:color w:val="000000" w:themeColor="text1"/>
          <w:sz w:val="22"/>
        </w:rPr>
        <w:footnoteReference w:id="34"/>
      </w:r>
      <w:r w:rsidR="00031E35" w:rsidRPr="0075321D">
        <w:rPr>
          <w:color w:val="000000" w:themeColor="text1"/>
        </w:rPr>
        <w:t xml:space="preserve">   We find that Titus has failed to provide a sufficiently unique and compelling reason for the pleading’s late</w:t>
      </w:r>
      <w:r w:rsidR="0070613F">
        <w:rPr>
          <w:color w:val="000000" w:themeColor="text1"/>
        </w:rPr>
        <w:t xml:space="preserve"> </w:t>
      </w:r>
      <w:r w:rsidR="00031E35" w:rsidRPr="0075321D">
        <w:rPr>
          <w:color w:val="000000" w:themeColor="text1"/>
        </w:rPr>
        <w:t>filing.</w:t>
      </w:r>
      <w:r w:rsidR="00457647">
        <w:rPr>
          <w:rStyle w:val="FootnoteReference"/>
        </w:rPr>
        <w:footnoteReference w:id="35"/>
      </w:r>
      <w:r w:rsidR="00031E35" w:rsidRPr="0075321D">
        <w:rPr>
          <w:color w:val="000000" w:themeColor="text1"/>
        </w:rPr>
        <w:t xml:space="preserve">  Both the Commission and the courts have </w:t>
      </w:r>
      <w:r w:rsidR="00031E35" w:rsidRPr="0075321D">
        <w:t>consistently</w:t>
      </w:r>
      <w:r w:rsidR="00031E35" w:rsidRPr="0075321D">
        <w:rPr>
          <w:color w:val="000000" w:themeColor="text1"/>
        </w:rPr>
        <w:t xml:space="preserve"> held that error by counsel is not an extenuating circumstance </w:t>
      </w:r>
      <w:r w:rsidR="00457647">
        <w:rPr>
          <w:color w:val="000000" w:themeColor="text1"/>
        </w:rPr>
        <w:t xml:space="preserve">that </w:t>
      </w:r>
      <w:r w:rsidR="00031E35" w:rsidRPr="0075321D">
        <w:rPr>
          <w:color w:val="000000" w:themeColor="text1"/>
        </w:rPr>
        <w:t>justif</w:t>
      </w:r>
      <w:r w:rsidR="00457647">
        <w:rPr>
          <w:color w:val="000000" w:themeColor="text1"/>
        </w:rPr>
        <w:t>ies</w:t>
      </w:r>
      <w:r w:rsidR="00031E35" w:rsidRPr="0075321D">
        <w:rPr>
          <w:color w:val="000000" w:themeColor="text1"/>
        </w:rPr>
        <w:t xml:space="preserve"> </w:t>
      </w:r>
      <w:r w:rsidR="00457647">
        <w:rPr>
          <w:color w:val="000000" w:themeColor="text1"/>
        </w:rPr>
        <w:t xml:space="preserve">waiving </w:t>
      </w:r>
      <w:r w:rsidR="00031E35" w:rsidRPr="0075321D">
        <w:rPr>
          <w:color w:val="000000" w:themeColor="text1"/>
        </w:rPr>
        <w:t xml:space="preserve">a </w:t>
      </w:r>
      <w:r w:rsidR="00031E35" w:rsidRPr="0075321D">
        <w:t>filing</w:t>
      </w:r>
      <w:r w:rsidR="00031E35" w:rsidRPr="0075321D">
        <w:rPr>
          <w:color w:val="000000" w:themeColor="text1"/>
        </w:rPr>
        <w:t xml:space="preserve"> deadline.</w:t>
      </w:r>
      <w:r w:rsidR="00031E35" w:rsidRPr="0075321D">
        <w:rPr>
          <w:rStyle w:val="FootnoteReference"/>
          <w:color w:val="000000" w:themeColor="text1"/>
          <w:sz w:val="22"/>
        </w:rPr>
        <w:footnoteReference w:id="36"/>
      </w:r>
      <w:r w:rsidR="00031E35" w:rsidRPr="0075321D">
        <w:rPr>
          <w:color w:val="000000" w:themeColor="text1"/>
        </w:rPr>
        <w:t xml:space="preserve">   </w:t>
      </w:r>
      <w:r w:rsidR="00C11AAB" w:rsidRPr="0075321D">
        <w:rPr>
          <w:color w:val="000000" w:themeColor="text1"/>
        </w:rPr>
        <w:t xml:space="preserve">As such, Titus’s professed reasons </w:t>
      </w:r>
      <w:r w:rsidR="00457647">
        <w:rPr>
          <w:color w:val="000000" w:themeColor="text1"/>
        </w:rPr>
        <w:t xml:space="preserve">why </w:t>
      </w:r>
      <w:r w:rsidR="00C11AAB" w:rsidRPr="0075321D">
        <w:rPr>
          <w:color w:val="000000" w:themeColor="text1"/>
        </w:rPr>
        <w:t xml:space="preserve">considering </w:t>
      </w:r>
      <w:r w:rsidR="00457647">
        <w:rPr>
          <w:color w:val="000000" w:themeColor="text1"/>
        </w:rPr>
        <w:t>a late-filed</w:t>
      </w:r>
      <w:r w:rsidR="00457647" w:rsidRPr="0075321D">
        <w:rPr>
          <w:color w:val="000000" w:themeColor="text1"/>
        </w:rPr>
        <w:t xml:space="preserve"> </w:t>
      </w:r>
      <w:r w:rsidR="0089010C" w:rsidRPr="0075321D">
        <w:rPr>
          <w:color w:val="000000" w:themeColor="text1"/>
        </w:rPr>
        <w:t>reply</w:t>
      </w:r>
      <w:r w:rsidR="00C11AAB" w:rsidRPr="0075321D">
        <w:rPr>
          <w:color w:val="000000" w:themeColor="text1"/>
        </w:rPr>
        <w:t xml:space="preserve"> </w:t>
      </w:r>
      <w:r w:rsidR="00457647">
        <w:rPr>
          <w:color w:val="000000" w:themeColor="text1"/>
        </w:rPr>
        <w:t xml:space="preserve">is in the public interest </w:t>
      </w:r>
      <w:r w:rsidR="00C11AAB" w:rsidRPr="0075321D">
        <w:rPr>
          <w:color w:val="000000" w:themeColor="text1"/>
        </w:rPr>
        <w:t>cannot alone provide an adequate basis for granting a waiver.  Indeed, as the D.C. Circuit has observed, “[w]hen an agency imposes a strict deadline for filings, as the FCC has done, many meritorious claims are not considered; that is the nature of a strict deadline.”</w:t>
      </w:r>
      <w:r w:rsidR="00C11AAB" w:rsidRPr="0075321D">
        <w:rPr>
          <w:rStyle w:val="FootnoteReference"/>
          <w:color w:val="000000" w:themeColor="text1"/>
          <w:sz w:val="22"/>
        </w:rPr>
        <w:footnoteReference w:id="37"/>
      </w:r>
      <w:r w:rsidR="00C11AAB" w:rsidRPr="0075321D">
        <w:rPr>
          <w:color w:val="000000" w:themeColor="text1"/>
        </w:rPr>
        <w:t xml:space="preserve"> </w:t>
      </w:r>
      <w:r w:rsidR="00031E35" w:rsidRPr="0075321D">
        <w:rPr>
          <w:color w:val="000000" w:themeColor="text1"/>
        </w:rPr>
        <w:t>Accordingly, we deny Titus’s request to accept his late-filed reply to EB’s ex</w:t>
      </w:r>
      <w:r w:rsidR="00C11AAB" w:rsidRPr="0075321D">
        <w:rPr>
          <w:color w:val="000000" w:themeColor="text1"/>
        </w:rPr>
        <w:t>ceptions.</w:t>
      </w:r>
      <w:r w:rsidR="0075220D" w:rsidRPr="0075321D">
        <w:rPr>
          <w:rStyle w:val="FootnoteReference"/>
          <w:color w:val="000000" w:themeColor="text1"/>
          <w:sz w:val="22"/>
        </w:rPr>
        <w:footnoteReference w:id="38"/>
      </w:r>
    </w:p>
    <w:p w:rsidR="00F0169A" w:rsidRDefault="00051779" w:rsidP="00B53D22">
      <w:pPr>
        <w:pStyle w:val="ParaNum"/>
        <w:rPr>
          <w:color w:val="000000" w:themeColor="text1"/>
        </w:rPr>
      </w:pPr>
      <w:r w:rsidRPr="00973B5C">
        <w:rPr>
          <w:b/>
          <w:color w:val="000000" w:themeColor="text1"/>
        </w:rPr>
        <w:lastRenderedPageBreak/>
        <w:t>Merits of EB’s exceptions.</w:t>
      </w:r>
      <w:r>
        <w:rPr>
          <w:b/>
          <w:i/>
          <w:color w:val="000000" w:themeColor="text1"/>
        </w:rPr>
        <w:t xml:space="preserve"> </w:t>
      </w:r>
      <w:r w:rsidR="0089010C" w:rsidRPr="0075321D">
        <w:rPr>
          <w:bCs/>
          <w:color w:val="000000" w:themeColor="text1"/>
        </w:rPr>
        <w:t>We now turn</w:t>
      </w:r>
      <w:r w:rsidR="00020B2A" w:rsidRPr="0075321D">
        <w:rPr>
          <w:bCs/>
          <w:color w:val="000000" w:themeColor="text1"/>
        </w:rPr>
        <w:t xml:space="preserve"> </w:t>
      </w:r>
      <w:r w:rsidR="00A87689" w:rsidRPr="0075321D">
        <w:rPr>
          <w:bCs/>
          <w:color w:val="000000" w:themeColor="text1"/>
        </w:rPr>
        <w:t>to EB’s exceptions</w:t>
      </w:r>
      <w:r w:rsidR="0089010C" w:rsidRPr="0075321D">
        <w:rPr>
          <w:bCs/>
          <w:color w:val="000000" w:themeColor="text1"/>
        </w:rPr>
        <w:t xml:space="preserve">. </w:t>
      </w:r>
      <w:r w:rsidR="008163FC" w:rsidRPr="0075321D">
        <w:rPr>
          <w:bCs/>
          <w:color w:val="000000" w:themeColor="text1"/>
        </w:rPr>
        <w:t xml:space="preserve"> </w:t>
      </w:r>
      <w:r w:rsidR="0089010C" w:rsidRPr="0075321D">
        <w:rPr>
          <w:bCs/>
          <w:color w:val="000000" w:themeColor="text1"/>
        </w:rPr>
        <w:t>As a general matter, w</w:t>
      </w:r>
      <w:r w:rsidR="008163FC" w:rsidRPr="0075321D">
        <w:rPr>
          <w:bCs/>
          <w:color w:val="000000" w:themeColor="text1"/>
        </w:rPr>
        <w:t>e review th</w:t>
      </w:r>
      <w:r w:rsidR="0089010C" w:rsidRPr="0075321D">
        <w:rPr>
          <w:bCs/>
          <w:color w:val="000000" w:themeColor="text1"/>
        </w:rPr>
        <w:t xml:space="preserve">e ALJ’s </w:t>
      </w:r>
      <w:r w:rsidR="008163FC" w:rsidRPr="0075321D">
        <w:rPr>
          <w:bCs/>
          <w:color w:val="000000" w:themeColor="text1"/>
        </w:rPr>
        <w:t xml:space="preserve">decision </w:t>
      </w:r>
      <w:r w:rsidR="008163FC" w:rsidRPr="0075321D">
        <w:rPr>
          <w:bCs/>
          <w:i/>
          <w:color w:val="000000" w:themeColor="text1"/>
        </w:rPr>
        <w:t>de novo.</w:t>
      </w:r>
      <w:r w:rsidR="008163FC" w:rsidRPr="0075321D">
        <w:rPr>
          <w:rStyle w:val="FootnoteReference"/>
          <w:bCs/>
          <w:color w:val="000000" w:themeColor="text1"/>
          <w:sz w:val="22"/>
        </w:rPr>
        <w:footnoteReference w:id="39"/>
      </w:r>
      <w:r w:rsidR="00126842" w:rsidRPr="0075321D">
        <w:rPr>
          <w:bCs/>
          <w:i/>
          <w:color w:val="000000" w:themeColor="text1"/>
        </w:rPr>
        <w:t xml:space="preserve"> </w:t>
      </w:r>
      <w:r w:rsidR="00126842" w:rsidRPr="0075321D">
        <w:rPr>
          <w:bCs/>
          <w:color w:val="000000" w:themeColor="text1"/>
        </w:rPr>
        <w:t xml:space="preserve"> </w:t>
      </w:r>
      <w:r w:rsidR="00BB3F12">
        <w:t>We do, however, give deference to the ALJ’s assessment of the credibility of the witnesses under appropriate circumstances.</w:t>
      </w:r>
      <w:r w:rsidR="00BB3F12">
        <w:rPr>
          <w:rStyle w:val="FootnoteReference"/>
        </w:rPr>
        <w:footnoteReference w:id="40"/>
      </w:r>
      <w:r w:rsidR="00377EF1">
        <w:t xml:space="preserve"> </w:t>
      </w:r>
      <w:r w:rsidR="00BB3F12">
        <w:t xml:space="preserve"> </w:t>
      </w:r>
      <w:r w:rsidR="00377EF1" w:rsidRPr="002E190D">
        <w:t>In</w:t>
      </w:r>
      <w:r w:rsidR="00377EF1" w:rsidRPr="0075321D">
        <w:rPr>
          <w:color w:val="000000" w:themeColor="text1"/>
        </w:rPr>
        <w:t xml:space="preserve"> determining the impact of misconduct on a licensee’s character qualifications, we consider the factors set forth in our character policy statements.</w:t>
      </w:r>
      <w:r w:rsidR="00377EF1" w:rsidRPr="0075321D">
        <w:rPr>
          <w:rStyle w:val="FootnoteReference"/>
          <w:color w:val="000000" w:themeColor="text1"/>
          <w:sz w:val="22"/>
        </w:rPr>
        <w:footnoteReference w:id="41"/>
      </w:r>
      <w:r w:rsidR="00377EF1" w:rsidRPr="0075321D">
        <w:rPr>
          <w:color w:val="000000" w:themeColor="text1"/>
        </w:rPr>
        <w:t xml:space="preserve">  These include the willfulness, frequency, currentness, and seriousness of the misconduct, efforts made to remedy the wrong, overall compliance with Commission rules and policies, and rehabilitation.</w:t>
      </w:r>
      <w:r w:rsidR="00377EF1" w:rsidRPr="0075321D">
        <w:rPr>
          <w:rStyle w:val="FootnoteReference"/>
          <w:color w:val="000000" w:themeColor="text1"/>
          <w:sz w:val="22"/>
        </w:rPr>
        <w:footnoteReference w:id="42"/>
      </w:r>
      <w:r w:rsidR="00377EF1" w:rsidRPr="0075321D">
        <w:rPr>
          <w:color w:val="000000" w:themeColor="text1"/>
        </w:rPr>
        <w:t xml:space="preserve">  </w:t>
      </w:r>
    </w:p>
    <w:p w:rsidR="00F0169A" w:rsidRDefault="00126842" w:rsidP="002E190D">
      <w:pPr>
        <w:pStyle w:val="ParaNum"/>
        <w:rPr>
          <w:color w:val="000000" w:themeColor="text1"/>
        </w:rPr>
      </w:pPr>
      <w:r w:rsidRPr="00973B5C">
        <w:rPr>
          <w:bCs/>
          <w:color w:val="000000" w:themeColor="text1"/>
        </w:rPr>
        <w:t xml:space="preserve">After a review of the record and the relevant case law, we find that the ALJ </w:t>
      </w:r>
      <w:r w:rsidR="00C5795F" w:rsidRPr="00973B5C">
        <w:rPr>
          <w:bCs/>
          <w:color w:val="000000" w:themeColor="text1"/>
        </w:rPr>
        <w:t xml:space="preserve">committed several </w:t>
      </w:r>
      <w:r w:rsidRPr="00973B5C">
        <w:rPr>
          <w:bCs/>
          <w:color w:val="000000" w:themeColor="text1"/>
        </w:rPr>
        <w:t>err</w:t>
      </w:r>
      <w:r w:rsidR="00C5795F" w:rsidRPr="00973B5C">
        <w:rPr>
          <w:bCs/>
          <w:color w:val="000000" w:themeColor="text1"/>
        </w:rPr>
        <w:t>ors in reaching his ultimate finding</w:t>
      </w:r>
      <w:r w:rsidRPr="00973B5C">
        <w:rPr>
          <w:bCs/>
          <w:color w:val="000000" w:themeColor="text1"/>
        </w:rPr>
        <w:t xml:space="preserve"> that </w:t>
      </w:r>
      <w:r w:rsidR="00C56A99" w:rsidRPr="00973B5C">
        <w:rPr>
          <w:bCs/>
          <w:color w:val="000000" w:themeColor="text1"/>
        </w:rPr>
        <w:t xml:space="preserve">EB </w:t>
      </w:r>
      <w:r w:rsidRPr="00973B5C">
        <w:rPr>
          <w:bCs/>
          <w:color w:val="000000" w:themeColor="text1"/>
        </w:rPr>
        <w:t xml:space="preserve">did not </w:t>
      </w:r>
      <w:r w:rsidR="00C56A99" w:rsidRPr="00973B5C">
        <w:rPr>
          <w:bCs/>
          <w:color w:val="000000" w:themeColor="text1"/>
        </w:rPr>
        <w:t>m</w:t>
      </w:r>
      <w:r w:rsidRPr="00973B5C">
        <w:rPr>
          <w:bCs/>
          <w:color w:val="000000" w:themeColor="text1"/>
        </w:rPr>
        <w:t>e</w:t>
      </w:r>
      <w:r w:rsidR="00C56A99" w:rsidRPr="00973B5C">
        <w:rPr>
          <w:bCs/>
          <w:color w:val="000000" w:themeColor="text1"/>
        </w:rPr>
        <w:t xml:space="preserve">et its burden of proving that Titus lacks the requisite character qualifications to be a </w:t>
      </w:r>
      <w:r w:rsidR="00C56A99" w:rsidRPr="002E190D">
        <w:t>Commission</w:t>
      </w:r>
      <w:r w:rsidR="00C56A99" w:rsidRPr="00973B5C">
        <w:rPr>
          <w:bCs/>
          <w:color w:val="000000" w:themeColor="text1"/>
        </w:rPr>
        <w:t xml:space="preserve"> licensee</w:t>
      </w:r>
      <w:r w:rsidRPr="00973B5C">
        <w:rPr>
          <w:bCs/>
          <w:color w:val="000000" w:themeColor="text1"/>
        </w:rPr>
        <w:t xml:space="preserve">.  </w:t>
      </w:r>
      <w:r w:rsidR="00377EF1">
        <w:rPr>
          <w:bCs/>
          <w:color w:val="000000" w:themeColor="text1"/>
        </w:rPr>
        <w:t xml:space="preserve"> In particular, we hold that the ALJ erred in failing to consider Titus’s two juvenile convictions, and failed to give adequate weight to the State of Washington’s determination that Titus is a high-risk sex offender.  </w:t>
      </w:r>
      <w:r w:rsidR="00C5795F" w:rsidRPr="00973B5C">
        <w:rPr>
          <w:bCs/>
          <w:color w:val="000000" w:themeColor="text1"/>
        </w:rPr>
        <w:t>We therefore reverse his Initial Decision and</w:t>
      </w:r>
      <w:r w:rsidRPr="00973B5C">
        <w:rPr>
          <w:bCs/>
          <w:color w:val="000000" w:themeColor="text1"/>
        </w:rPr>
        <w:t xml:space="preserve"> </w:t>
      </w:r>
      <w:r w:rsidR="00BB3F12">
        <w:rPr>
          <w:bCs/>
          <w:color w:val="000000" w:themeColor="text1"/>
        </w:rPr>
        <w:t>revoke</w:t>
      </w:r>
      <w:r w:rsidRPr="00973B5C">
        <w:rPr>
          <w:bCs/>
          <w:color w:val="000000" w:themeColor="text1"/>
        </w:rPr>
        <w:t xml:space="preserve"> </w:t>
      </w:r>
      <w:r w:rsidR="00E7677F" w:rsidRPr="00973B5C">
        <w:rPr>
          <w:bCs/>
          <w:color w:val="000000" w:themeColor="text1"/>
        </w:rPr>
        <w:t>Titus’s</w:t>
      </w:r>
      <w:r w:rsidR="00C56A99" w:rsidRPr="00973B5C">
        <w:rPr>
          <w:bCs/>
          <w:color w:val="000000" w:themeColor="text1"/>
        </w:rPr>
        <w:t xml:space="preserve"> license.</w:t>
      </w:r>
      <w:r w:rsidR="00C56A99" w:rsidRPr="00973B5C">
        <w:rPr>
          <w:color w:val="000000" w:themeColor="text1"/>
        </w:rPr>
        <w:t> </w:t>
      </w:r>
    </w:p>
    <w:p w:rsidR="00F0169A" w:rsidRDefault="004A2D59" w:rsidP="002E190D">
      <w:pPr>
        <w:pStyle w:val="ParaNum"/>
        <w:rPr>
          <w:color w:val="000000" w:themeColor="text1"/>
        </w:rPr>
      </w:pPr>
      <w:r w:rsidRPr="00F03B1D">
        <w:rPr>
          <w:i/>
          <w:color w:val="000000" w:themeColor="text1"/>
          <w:u w:val="single"/>
        </w:rPr>
        <w:t>Consideration of past conviction</w:t>
      </w:r>
      <w:r>
        <w:rPr>
          <w:i/>
          <w:color w:val="000000" w:themeColor="text1"/>
          <w:u w:val="single"/>
        </w:rPr>
        <w:t>s</w:t>
      </w:r>
      <w:r w:rsidRPr="00973B5C">
        <w:rPr>
          <w:i/>
          <w:color w:val="000000" w:themeColor="text1"/>
        </w:rPr>
        <w:t xml:space="preserve">. </w:t>
      </w:r>
      <w:r>
        <w:rPr>
          <w:color w:val="000000" w:themeColor="text1"/>
        </w:rPr>
        <w:t xml:space="preserve"> </w:t>
      </w:r>
      <w:r w:rsidR="00C70DCC">
        <w:rPr>
          <w:color w:val="000000" w:themeColor="text1"/>
        </w:rPr>
        <w:t>T</w:t>
      </w:r>
      <w:r w:rsidR="00377EF1">
        <w:rPr>
          <w:color w:val="000000" w:themeColor="text1"/>
        </w:rPr>
        <w:t xml:space="preserve">here can be no serious question that </w:t>
      </w:r>
      <w:r w:rsidR="00E7677F" w:rsidRPr="0075321D">
        <w:rPr>
          <w:color w:val="000000" w:themeColor="text1"/>
        </w:rPr>
        <w:t>Titus’s</w:t>
      </w:r>
      <w:r w:rsidR="00C1750D" w:rsidRPr="0075321D">
        <w:rPr>
          <w:color w:val="000000" w:themeColor="text1"/>
        </w:rPr>
        <w:t xml:space="preserve"> misconduct </w:t>
      </w:r>
      <w:r w:rsidR="00C56A99" w:rsidRPr="0075321D">
        <w:rPr>
          <w:color w:val="000000" w:themeColor="text1"/>
        </w:rPr>
        <w:t>was willful</w:t>
      </w:r>
      <w:r w:rsidR="00BF03BF" w:rsidRPr="0075321D">
        <w:rPr>
          <w:color w:val="000000" w:themeColor="text1"/>
        </w:rPr>
        <w:t xml:space="preserve">, repeated, </w:t>
      </w:r>
      <w:r w:rsidR="00C56A99" w:rsidRPr="0075321D">
        <w:rPr>
          <w:color w:val="000000" w:themeColor="text1"/>
        </w:rPr>
        <w:t>and serious</w:t>
      </w:r>
      <w:r w:rsidR="00C1750D" w:rsidRPr="0075321D">
        <w:rPr>
          <w:color w:val="000000" w:themeColor="text1"/>
        </w:rPr>
        <w:t>.  It rises to the level of misconduct that is “so egregious as to shock the conscience and evoke almost universal disapprobation.”</w:t>
      </w:r>
      <w:r w:rsidR="00C1750D" w:rsidRPr="0075321D">
        <w:rPr>
          <w:rStyle w:val="FootnoteReference"/>
          <w:color w:val="000000" w:themeColor="text1"/>
          <w:sz w:val="22"/>
        </w:rPr>
        <w:footnoteReference w:id="43"/>
      </w:r>
      <w:r w:rsidR="00C1750D" w:rsidRPr="0075321D">
        <w:rPr>
          <w:color w:val="000000" w:themeColor="text1"/>
        </w:rPr>
        <w:t xml:space="preserve">  </w:t>
      </w:r>
      <w:r w:rsidR="00C56A99" w:rsidRPr="0075321D">
        <w:rPr>
          <w:color w:val="000000" w:themeColor="text1"/>
        </w:rPr>
        <w:t xml:space="preserve"> </w:t>
      </w:r>
      <w:r w:rsidR="00A656D8" w:rsidRPr="0075321D">
        <w:rPr>
          <w:color w:val="000000" w:themeColor="text1"/>
        </w:rPr>
        <w:t>I</w:t>
      </w:r>
      <w:r w:rsidR="00C56A99" w:rsidRPr="0075321D">
        <w:rPr>
          <w:color w:val="000000" w:themeColor="text1"/>
        </w:rPr>
        <w:t>ndeed</w:t>
      </w:r>
      <w:r w:rsidR="006368B7" w:rsidRPr="0075321D">
        <w:rPr>
          <w:color w:val="000000" w:themeColor="text1"/>
        </w:rPr>
        <w:t>,</w:t>
      </w:r>
      <w:r w:rsidR="00C56A99" w:rsidRPr="0075321D">
        <w:rPr>
          <w:color w:val="000000" w:themeColor="text1"/>
        </w:rPr>
        <w:t xml:space="preserve"> </w:t>
      </w:r>
      <w:r w:rsidR="00A656D8" w:rsidRPr="0075321D">
        <w:rPr>
          <w:color w:val="000000" w:themeColor="text1"/>
        </w:rPr>
        <w:t>the ALJ</w:t>
      </w:r>
      <w:r w:rsidR="006368B7" w:rsidRPr="0075321D">
        <w:rPr>
          <w:color w:val="000000" w:themeColor="text1"/>
        </w:rPr>
        <w:t xml:space="preserve"> himself</w:t>
      </w:r>
      <w:r w:rsidR="00A656D8" w:rsidRPr="0075321D">
        <w:rPr>
          <w:color w:val="000000" w:themeColor="text1"/>
        </w:rPr>
        <w:t xml:space="preserve"> characterized </w:t>
      </w:r>
      <w:r w:rsidR="00E7677F" w:rsidRPr="0075321D">
        <w:rPr>
          <w:color w:val="000000" w:themeColor="text1"/>
        </w:rPr>
        <w:t>Titus’s</w:t>
      </w:r>
      <w:r w:rsidR="00A656D8" w:rsidRPr="0075321D">
        <w:rPr>
          <w:color w:val="000000" w:themeColor="text1"/>
        </w:rPr>
        <w:t xml:space="preserve"> behavior </w:t>
      </w:r>
      <w:r w:rsidR="00377EF1">
        <w:rPr>
          <w:color w:val="000000" w:themeColor="text1"/>
        </w:rPr>
        <w:t xml:space="preserve">that led to his adult felony conviction </w:t>
      </w:r>
      <w:r w:rsidR="00A656D8" w:rsidRPr="0075321D">
        <w:rPr>
          <w:color w:val="000000" w:themeColor="text1"/>
        </w:rPr>
        <w:t xml:space="preserve">as </w:t>
      </w:r>
      <w:r w:rsidR="00C56A99" w:rsidRPr="0075321D">
        <w:rPr>
          <w:color w:val="000000" w:themeColor="text1"/>
        </w:rPr>
        <w:t>“shockingly evil</w:t>
      </w:r>
      <w:r w:rsidR="00A656D8" w:rsidRPr="00377EF1">
        <w:rPr>
          <w:color w:val="000000" w:themeColor="text1"/>
        </w:rPr>
        <w:t>.</w:t>
      </w:r>
      <w:r w:rsidR="00C56A99" w:rsidRPr="00377EF1">
        <w:rPr>
          <w:color w:val="000000" w:themeColor="text1"/>
        </w:rPr>
        <w:t>”</w:t>
      </w:r>
      <w:r w:rsidR="00A656D8" w:rsidRPr="00377EF1">
        <w:rPr>
          <w:rStyle w:val="FootnoteReference"/>
          <w:color w:val="000000" w:themeColor="text1"/>
          <w:sz w:val="22"/>
        </w:rPr>
        <w:footnoteReference w:id="44"/>
      </w:r>
      <w:r w:rsidR="00D46996" w:rsidRPr="00377EF1">
        <w:rPr>
          <w:color w:val="000000" w:themeColor="text1"/>
        </w:rPr>
        <w:t xml:space="preserve">  </w:t>
      </w:r>
      <w:r w:rsidR="00B44F29" w:rsidRPr="00377EF1">
        <w:rPr>
          <w:color w:val="000000" w:themeColor="text1"/>
        </w:rPr>
        <w:t xml:space="preserve">Especially in </w:t>
      </w:r>
      <w:r w:rsidR="00B44F29" w:rsidRPr="00377EF1">
        <w:rPr>
          <w:color w:val="000000" w:themeColor="text1"/>
        </w:rPr>
        <w:lastRenderedPageBreak/>
        <w:t>light of the known risks of amateur radio</w:t>
      </w:r>
      <w:r w:rsidR="00B44F29" w:rsidRPr="00973B5C">
        <w:rPr>
          <w:color w:val="000000" w:themeColor="text1"/>
        </w:rPr>
        <w:t>s</w:t>
      </w:r>
      <w:r w:rsidR="00B44F29" w:rsidRPr="00377EF1">
        <w:rPr>
          <w:color w:val="000000" w:themeColor="text1"/>
        </w:rPr>
        <w:t xml:space="preserve"> in the hands of sex offenders,</w:t>
      </w:r>
      <w:r w:rsidR="00B44F29" w:rsidRPr="00377EF1">
        <w:rPr>
          <w:rStyle w:val="FootnoteReference"/>
        </w:rPr>
        <w:footnoteReference w:id="45"/>
      </w:r>
      <w:r w:rsidR="00B44F29" w:rsidRPr="00377EF1">
        <w:rPr>
          <w:color w:val="000000" w:themeColor="text1"/>
        </w:rPr>
        <w:t xml:space="preserve"> s</w:t>
      </w:r>
      <w:r w:rsidR="00D46996" w:rsidRPr="00377EF1">
        <w:rPr>
          <w:color w:val="000000" w:themeColor="text1"/>
        </w:rPr>
        <w:t xml:space="preserve">uch misconduct is </w:t>
      </w:r>
      <w:r w:rsidR="00D46996" w:rsidRPr="00377EF1">
        <w:rPr>
          <w:i/>
          <w:color w:val="000000" w:themeColor="text1"/>
        </w:rPr>
        <w:t xml:space="preserve">prima facie </w:t>
      </w:r>
      <w:r w:rsidR="00D46996" w:rsidRPr="00377EF1">
        <w:rPr>
          <w:color w:val="000000" w:themeColor="text1"/>
        </w:rPr>
        <w:t>disqualifying</w:t>
      </w:r>
      <w:r w:rsidR="0070613F" w:rsidRPr="00377EF1">
        <w:rPr>
          <w:color w:val="000000" w:themeColor="text1"/>
        </w:rPr>
        <w:t>,</w:t>
      </w:r>
      <w:r w:rsidR="00D46996" w:rsidRPr="00377EF1">
        <w:rPr>
          <w:rStyle w:val="FootnoteReference"/>
          <w:color w:val="000000" w:themeColor="text1"/>
          <w:sz w:val="22"/>
        </w:rPr>
        <w:footnoteReference w:id="46"/>
      </w:r>
      <w:r w:rsidR="00D46996" w:rsidRPr="00377EF1">
        <w:rPr>
          <w:color w:val="000000" w:themeColor="text1"/>
        </w:rPr>
        <w:t xml:space="preserve"> and has resulted in </w:t>
      </w:r>
      <w:r w:rsidR="0070613F" w:rsidRPr="00377EF1">
        <w:rPr>
          <w:color w:val="000000" w:themeColor="text1"/>
        </w:rPr>
        <w:t xml:space="preserve">the </w:t>
      </w:r>
      <w:r w:rsidR="00D46996" w:rsidRPr="00377EF1">
        <w:rPr>
          <w:color w:val="000000" w:themeColor="text1"/>
        </w:rPr>
        <w:t>loss of license</w:t>
      </w:r>
      <w:r w:rsidR="0070613F" w:rsidRPr="00377EF1">
        <w:rPr>
          <w:color w:val="000000" w:themeColor="text1"/>
        </w:rPr>
        <w:t>s</w:t>
      </w:r>
      <w:r w:rsidR="00D46996" w:rsidRPr="00377EF1">
        <w:rPr>
          <w:color w:val="000000" w:themeColor="text1"/>
        </w:rPr>
        <w:t xml:space="preserve"> in past cases.</w:t>
      </w:r>
      <w:r w:rsidR="003535E6" w:rsidRPr="00377EF1">
        <w:rPr>
          <w:rStyle w:val="FootnoteReference"/>
          <w:color w:val="000000" w:themeColor="text1"/>
          <w:sz w:val="22"/>
        </w:rPr>
        <w:footnoteReference w:id="47"/>
      </w:r>
      <w:r w:rsidR="00A656D8" w:rsidRPr="00377EF1">
        <w:rPr>
          <w:color w:val="000000" w:themeColor="text1"/>
        </w:rPr>
        <w:t xml:space="preserve">  </w:t>
      </w:r>
      <w:r w:rsidR="00377EF1">
        <w:rPr>
          <w:color w:val="000000" w:themeColor="text1"/>
        </w:rPr>
        <w:t xml:space="preserve">Indeed, even without considering Titus’s two juvenile convictions, we believe </w:t>
      </w:r>
      <w:r w:rsidR="00067348">
        <w:rPr>
          <w:color w:val="000000" w:themeColor="text1"/>
        </w:rPr>
        <w:t>Titus’s adult</w:t>
      </w:r>
      <w:r w:rsidR="00377EF1">
        <w:rPr>
          <w:color w:val="000000" w:themeColor="text1"/>
        </w:rPr>
        <w:t xml:space="preserve"> conviction, tied to the State of Washington’s </w:t>
      </w:r>
      <w:r w:rsidR="00067348">
        <w:rPr>
          <w:color w:val="000000" w:themeColor="text1"/>
        </w:rPr>
        <w:t>2004 re-</w:t>
      </w:r>
      <w:r w:rsidR="00377EF1">
        <w:rPr>
          <w:color w:val="000000" w:themeColor="text1"/>
        </w:rPr>
        <w:t>classification of Titus as a high-risk sex offender, would</w:t>
      </w:r>
      <w:r w:rsidR="006A532A">
        <w:rPr>
          <w:color w:val="000000" w:themeColor="text1"/>
        </w:rPr>
        <w:t xml:space="preserve"> be sufficient to justify revocation of his license</w:t>
      </w:r>
      <w:r w:rsidR="00377EF1">
        <w:rPr>
          <w:color w:val="000000" w:themeColor="text1"/>
        </w:rPr>
        <w:t>.</w:t>
      </w:r>
    </w:p>
    <w:p w:rsidR="00B53D22" w:rsidRDefault="00B53D22">
      <w:pPr>
        <w:rPr>
          <w:color w:val="000000" w:themeColor="text1"/>
        </w:rPr>
      </w:pPr>
      <w:r>
        <w:rPr>
          <w:color w:val="000000" w:themeColor="text1"/>
        </w:rPr>
        <w:br w:type="page"/>
      </w:r>
    </w:p>
    <w:p w:rsidR="00F0169A" w:rsidRDefault="00C70DCC" w:rsidP="002E190D">
      <w:pPr>
        <w:pStyle w:val="ParaNum"/>
        <w:rPr>
          <w:color w:val="000000" w:themeColor="text1"/>
        </w:rPr>
      </w:pPr>
      <w:r>
        <w:rPr>
          <w:color w:val="000000" w:themeColor="text1"/>
        </w:rPr>
        <w:lastRenderedPageBreak/>
        <w:t>W</w:t>
      </w:r>
      <w:r w:rsidR="00377EF1">
        <w:rPr>
          <w:color w:val="000000" w:themeColor="text1"/>
        </w:rPr>
        <w:t xml:space="preserve">e also find that </w:t>
      </w:r>
      <w:r w:rsidR="00C56A99" w:rsidRPr="0075321D">
        <w:rPr>
          <w:bCs/>
          <w:color w:val="000000" w:themeColor="text1"/>
        </w:rPr>
        <w:t xml:space="preserve">the ALJ </w:t>
      </w:r>
      <w:r w:rsidR="00952085" w:rsidRPr="0075321D">
        <w:t xml:space="preserve">erred in </w:t>
      </w:r>
      <w:r w:rsidR="00A85496" w:rsidRPr="0075321D">
        <w:t xml:space="preserve">ruling </w:t>
      </w:r>
      <w:r w:rsidR="00952085" w:rsidRPr="0075321D">
        <w:t xml:space="preserve">that </w:t>
      </w:r>
      <w:r w:rsidR="003274E4" w:rsidRPr="0075321D">
        <w:t>Titus’s juvenile</w:t>
      </w:r>
      <w:r w:rsidR="00952085" w:rsidRPr="0075321D">
        <w:t xml:space="preserve"> adjudications should not be considered in </w:t>
      </w:r>
      <w:r w:rsidR="00377EF1">
        <w:t>this proceeding.</w:t>
      </w:r>
      <w:r w:rsidR="00067348">
        <w:rPr>
          <w:rStyle w:val="FootnoteReference"/>
        </w:rPr>
        <w:footnoteReference w:id="48"/>
      </w:r>
      <w:r w:rsidR="00377EF1" w:rsidRPr="0075321D">
        <w:t xml:space="preserve"> </w:t>
      </w:r>
      <w:r w:rsidR="00067348">
        <w:t xml:space="preserve">According to the ALJ, these adjudications could not be considered because they occurred more than ten years before the </w:t>
      </w:r>
      <w:r w:rsidR="004A2D59">
        <w:t>O</w:t>
      </w:r>
      <w:r w:rsidR="00067348">
        <w:t xml:space="preserve">rder to </w:t>
      </w:r>
      <w:r w:rsidR="004A2D59">
        <w:t>S</w:t>
      </w:r>
      <w:r w:rsidR="00067348">
        <w:t xml:space="preserve">how </w:t>
      </w:r>
      <w:r w:rsidR="004A2D59">
        <w:t>C</w:t>
      </w:r>
      <w:r w:rsidR="00067348">
        <w:t>ause.</w:t>
      </w:r>
      <w:r w:rsidR="004078F2">
        <w:rPr>
          <w:rStyle w:val="FootnoteReference"/>
        </w:rPr>
        <w:footnoteReference w:id="49"/>
      </w:r>
      <w:r w:rsidR="00067348">
        <w:t xml:space="preserve"> </w:t>
      </w:r>
      <w:r w:rsidR="004078F2">
        <w:t xml:space="preserve"> </w:t>
      </w:r>
      <w:r w:rsidR="00067348">
        <w:t xml:space="preserve">But under the Commission’s </w:t>
      </w:r>
      <w:r w:rsidR="00067348">
        <w:rPr>
          <w:i/>
        </w:rPr>
        <w:t>1990 Policy Statement</w:t>
      </w:r>
      <w:r w:rsidR="00067348">
        <w:t xml:space="preserve">, “evidence of </w:t>
      </w:r>
      <w:r w:rsidR="00067348">
        <w:rPr>
          <w:i/>
        </w:rPr>
        <w:t xml:space="preserve">any </w:t>
      </w:r>
      <w:r w:rsidR="00067348">
        <w:t>conviction for misconduct constituting a felony will be relevant to our evaluation of an applicant’s or licensee’s character.”</w:t>
      </w:r>
      <w:r w:rsidR="00067348">
        <w:rPr>
          <w:rStyle w:val="FootnoteReference"/>
        </w:rPr>
        <w:footnoteReference w:id="50"/>
      </w:r>
      <w:r w:rsidR="00067348">
        <w:t xml:space="preserve"> </w:t>
      </w:r>
      <w:r w:rsidR="004078F2">
        <w:t xml:space="preserve">The </w:t>
      </w:r>
      <w:r w:rsidR="004078F2" w:rsidRPr="00F03B1D">
        <w:rPr>
          <w:i/>
        </w:rPr>
        <w:t>1990</w:t>
      </w:r>
      <w:r w:rsidR="004078F2">
        <w:t xml:space="preserve"> </w:t>
      </w:r>
      <w:r w:rsidR="004078F2">
        <w:rPr>
          <w:i/>
        </w:rPr>
        <w:t xml:space="preserve">Policy Statement </w:t>
      </w:r>
      <w:r w:rsidR="004078F2" w:rsidRPr="00F03B1D">
        <w:t xml:space="preserve">expressly </w:t>
      </w:r>
      <w:r w:rsidR="00B71343">
        <w:t>referenced the fact</w:t>
      </w:r>
      <w:r w:rsidR="004078F2" w:rsidRPr="00F03B1D">
        <w:t xml:space="preserve"> that the terminology used by a state is not controlling, </w:t>
      </w:r>
      <w:r w:rsidR="004078F2" w:rsidRPr="00DF150A">
        <w:t>explaining that “[u]nder federal law, a felony is a crime punishable by death or imprisonment for a term exceeding a year</w:t>
      </w:r>
      <w:r w:rsidR="004078F2">
        <w:t>.”</w:t>
      </w:r>
      <w:r w:rsidR="004078F2">
        <w:rPr>
          <w:rStyle w:val="FootnoteReference"/>
        </w:rPr>
        <w:footnoteReference w:id="51"/>
      </w:r>
      <w:r w:rsidR="004078F2">
        <w:t xml:space="preserve">  It thus does not matter for our purposes whether the State of Washington labels these juvenile crimes as felonies; it is undisputed that Titus was confined for over a year for each of these offenses,</w:t>
      </w:r>
      <w:r w:rsidR="005133B1" w:rsidRPr="005133B1">
        <w:rPr>
          <w:rStyle w:val="FootnoteReference"/>
        </w:rPr>
        <w:t xml:space="preserve"> </w:t>
      </w:r>
      <w:r w:rsidR="005133B1">
        <w:rPr>
          <w:rStyle w:val="FootnoteReference"/>
        </w:rPr>
        <w:footnoteReference w:id="52"/>
      </w:r>
      <w:r w:rsidR="004078F2">
        <w:t xml:space="preserve"> and thus they are relevant to the Commission’s analysis.</w:t>
      </w:r>
      <w:r w:rsidR="005133B1">
        <w:rPr>
          <w:rStyle w:val="FootnoteReference"/>
        </w:rPr>
        <w:footnoteReference w:id="53"/>
      </w:r>
      <w:r w:rsidR="004078F2">
        <w:t xml:space="preserve">  </w:t>
      </w:r>
      <w:r w:rsidR="008C3918" w:rsidRPr="00377EF1">
        <w:t xml:space="preserve">These convictions </w:t>
      </w:r>
      <w:r w:rsidR="00B13E74" w:rsidRPr="00377EF1">
        <w:rPr>
          <w:bCs/>
          <w:color w:val="000000" w:themeColor="text1"/>
        </w:rPr>
        <w:t>demonstrat</w:t>
      </w:r>
      <w:r w:rsidR="008C3918" w:rsidRPr="00377EF1">
        <w:rPr>
          <w:bCs/>
          <w:color w:val="000000" w:themeColor="text1"/>
        </w:rPr>
        <w:t>e</w:t>
      </w:r>
      <w:r w:rsidR="00B13E74" w:rsidRPr="00377EF1">
        <w:rPr>
          <w:bCs/>
          <w:color w:val="000000" w:themeColor="text1"/>
        </w:rPr>
        <w:t xml:space="preserve"> </w:t>
      </w:r>
      <w:r w:rsidR="00325D21" w:rsidRPr="00377EF1">
        <w:rPr>
          <w:bCs/>
          <w:color w:val="000000" w:themeColor="text1"/>
        </w:rPr>
        <w:t xml:space="preserve">that </w:t>
      </w:r>
      <w:r w:rsidR="008C3918" w:rsidRPr="00377EF1">
        <w:rPr>
          <w:bCs/>
          <w:color w:val="000000" w:themeColor="text1"/>
        </w:rPr>
        <w:t xml:space="preserve">Titus’s </w:t>
      </w:r>
      <w:r w:rsidR="00325D21" w:rsidRPr="00377EF1">
        <w:rPr>
          <w:bCs/>
          <w:color w:val="000000" w:themeColor="text1"/>
        </w:rPr>
        <w:t xml:space="preserve">single adult </w:t>
      </w:r>
      <w:r w:rsidR="008C3918" w:rsidRPr="00377EF1">
        <w:rPr>
          <w:bCs/>
          <w:color w:val="000000" w:themeColor="text1"/>
        </w:rPr>
        <w:t xml:space="preserve">felony </w:t>
      </w:r>
      <w:r w:rsidR="00325D21" w:rsidRPr="00377EF1">
        <w:rPr>
          <w:bCs/>
          <w:color w:val="000000" w:themeColor="text1"/>
        </w:rPr>
        <w:t xml:space="preserve">conviction </w:t>
      </w:r>
      <w:r w:rsidR="00B13E74" w:rsidRPr="00377EF1">
        <w:rPr>
          <w:bCs/>
          <w:color w:val="000000" w:themeColor="text1"/>
        </w:rPr>
        <w:t>was not an isolated offense and is therefore all the more eg</w:t>
      </w:r>
      <w:r w:rsidR="00B13E74" w:rsidRPr="00067348">
        <w:rPr>
          <w:bCs/>
          <w:color w:val="000000" w:themeColor="text1"/>
        </w:rPr>
        <w:t>regious</w:t>
      </w:r>
      <w:r w:rsidR="00F04615" w:rsidRPr="00067348">
        <w:rPr>
          <w:bCs/>
          <w:color w:val="000000" w:themeColor="text1"/>
        </w:rPr>
        <w:t xml:space="preserve"> and disqualifying</w:t>
      </w:r>
      <w:r w:rsidR="00B13E74" w:rsidRPr="00067348">
        <w:rPr>
          <w:bCs/>
          <w:color w:val="000000" w:themeColor="text1"/>
        </w:rPr>
        <w:t xml:space="preserve">. </w:t>
      </w:r>
    </w:p>
    <w:p w:rsidR="00C56A99" w:rsidRPr="0007339C" w:rsidRDefault="00B71343" w:rsidP="00B53D22">
      <w:pPr>
        <w:pStyle w:val="ParaNum"/>
        <w:rPr>
          <w:color w:val="000000" w:themeColor="text1"/>
        </w:rPr>
      </w:pPr>
      <w:r w:rsidRPr="00F03B1D">
        <w:rPr>
          <w:i/>
          <w:color w:val="000000" w:themeColor="text1"/>
          <w:u w:val="single"/>
        </w:rPr>
        <w:t>ALJ’s analysis of rehabilitation evidence</w:t>
      </w:r>
      <w:r w:rsidRPr="00973B5C">
        <w:rPr>
          <w:i/>
          <w:color w:val="000000" w:themeColor="text1"/>
        </w:rPr>
        <w:t xml:space="preserve">.  </w:t>
      </w:r>
      <w:r w:rsidR="00C70DCC">
        <w:t xml:space="preserve">Although </w:t>
      </w:r>
      <w:r w:rsidR="0051597B" w:rsidRPr="0075321D">
        <w:rPr>
          <w:bCs/>
          <w:color w:val="000000" w:themeColor="text1"/>
        </w:rPr>
        <w:t xml:space="preserve">we </w:t>
      </w:r>
      <w:r w:rsidR="0051597B" w:rsidRPr="0075321D">
        <w:rPr>
          <w:color w:val="000000" w:themeColor="text1"/>
        </w:rPr>
        <w:t>agree</w:t>
      </w:r>
      <w:r w:rsidR="0051597B" w:rsidRPr="0075321D">
        <w:rPr>
          <w:bCs/>
          <w:color w:val="000000" w:themeColor="text1"/>
        </w:rPr>
        <w:t xml:space="preserve"> with the ALJ that </w:t>
      </w:r>
      <w:r w:rsidR="00C56A99" w:rsidRPr="0075321D">
        <w:rPr>
          <w:bCs/>
          <w:color w:val="000000" w:themeColor="text1"/>
        </w:rPr>
        <w:t xml:space="preserve">other factors, including </w:t>
      </w:r>
      <w:r w:rsidR="00E363AA">
        <w:rPr>
          <w:bCs/>
          <w:color w:val="000000" w:themeColor="text1"/>
        </w:rPr>
        <w:t xml:space="preserve">in particular </w:t>
      </w:r>
      <w:r w:rsidR="00C56A99" w:rsidRPr="0075321D">
        <w:rPr>
          <w:bCs/>
          <w:color w:val="000000" w:themeColor="text1"/>
        </w:rPr>
        <w:t>rehabili</w:t>
      </w:r>
      <w:r w:rsidR="0051597B" w:rsidRPr="0075321D">
        <w:rPr>
          <w:bCs/>
          <w:color w:val="000000" w:themeColor="text1"/>
        </w:rPr>
        <w:t>t</w:t>
      </w:r>
      <w:r w:rsidR="00C56A99" w:rsidRPr="0075321D">
        <w:rPr>
          <w:bCs/>
          <w:color w:val="000000" w:themeColor="text1"/>
        </w:rPr>
        <w:t>ation</w:t>
      </w:r>
      <w:r w:rsidR="00266844" w:rsidRPr="0075321D">
        <w:rPr>
          <w:bCs/>
          <w:color w:val="000000" w:themeColor="text1"/>
        </w:rPr>
        <w:t>,</w:t>
      </w:r>
      <w:r w:rsidR="00C56A99" w:rsidRPr="0075321D">
        <w:rPr>
          <w:bCs/>
          <w:color w:val="000000" w:themeColor="text1"/>
        </w:rPr>
        <w:t xml:space="preserve"> </w:t>
      </w:r>
      <w:r w:rsidR="00D46996" w:rsidRPr="0075321D">
        <w:rPr>
          <w:bCs/>
          <w:color w:val="000000" w:themeColor="text1"/>
        </w:rPr>
        <w:t>are relevant</w:t>
      </w:r>
      <w:r w:rsidR="00266844" w:rsidRPr="0075321D">
        <w:rPr>
          <w:bCs/>
          <w:color w:val="000000" w:themeColor="text1"/>
        </w:rPr>
        <w:t xml:space="preserve"> to </w:t>
      </w:r>
      <w:r w:rsidR="00F04615" w:rsidRPr="0075321D">
        <w:rPr>
          <w:bCs/>
          <w:color w:val="000000" w:themeColor="text1"/>
        </w:rPr>
        <w:t xml:space="preserve">the ultimate </w:t>
      </w:r>
      <w:r w:rsidR="00266844" w:rsidRPr="0075321D">
        <w:rPr>
          <w:bCs/>
          <w:color w:val="000000" w:themeColor="text1"/>
        </w:rPr>
        <w:t xml:space="preserve">assessment of </w:t>
      </w:r>
      <w:r w:rsidR="00B13E74" w:rsidRPr="0075321D">
        <w:rPr>
          <w:bCs/>
          <w:color w:val="000000" w:themeColor="text1"/>
        </w:rPr>
        <w:t>Titus’</w:t>
      </w:r>
      <w:r w:rsidR="00266844" w:rsidRPr="0075321D">
        <w:rPr>
          <w:bCs/>
          <w:color w:val="000000" w:themeColor="text1"/>
        </w:rPr>
        <w:t>s character qualifications</w:t>
      </w:r>
      <w:r w:rsidR="0051597B" w:rsidRPr="0075321D">
        <w:rPr>
          <w:bCs/>
          <w:color w:val="000000" w:themeColor="text1"/>
        </w:rPr>
        <w:t xml:space="preserve">, we find that </w:t>
      </w:r>
      <w:r w:rsidR="00F04615" w:rsidRPr="0075321D">
        <w:rPr>
          <w:bCs/>
          <w:color w:val="000000" w:themeColor="text1"/>
        </w:rPr>
        <w:t>the ALJ</w:t>
      </w:r>
      <w:r w:rsidR="0051597B" w:rsidRPr="0075321D">
        <w:rPr>
          <w:bCs/>
          <w:color w:val="000000" w:themeColor="text1"/>
        </w:rPr>
        <w:t xml:space="preserve"> erred in </w:t>
      </w:r>
      <w:r w:rsidR="008045CE" w:rsidRPr="0075321D">
        <w:rPr>
          <w:bCs/>
          <w:color w:val="000000" w:themeColor="text1"/>
        </w:rPr>
        <w:t xml:space="preserve">the manner in which he </w:t>
      </w:r>
      <w:r w:rsidR="00533DA4">
        <w:rPr>
          <w:bCs/>
          <w:color w:val="000000" w:themeColor="text1"/>
        </w:rPr>
        <w:t>handled rehabilitation in this matter</w:t>
      </w:r>
      <w:r w:rsidR="008045CE" w:rsidRPr="0075321D">
        <w:rPr>
          <w:bCs/>
          <w:color w:val="000000" w:themeColor="text1"/>
        </w:rPr>
        <w:t xml:space="preserve">.  </w:t>
      </w:r>
      <w:r w:rsidR="00D46996" w:rsidRPr="0075321D">
        <w:rPr>
          <w:bCs/>
          <w:color w:val="000000" w:themeColor="text1"/>
        </w:rPr>
        <w:t>Under section 312(d) of the Communications Act,</w:t>
      </w:r>
      <w:r w:rsidR="00D46996" w:rsidRPr="0075321D">
        <w:rPr>
          <w:rStyle w:val="FootnoteReference"/>
          <w:bCs/>
          <w:color w:val="000000" w:themeColor="text1"/>
          <w:sz w:val="22"/>
        </w:rPr>
        <w:footnoteReference w:id="54"/>
      </w:r>
      <w:r w:rsidR="00D46996" w:rsidRPr="0075321D">
        <w:rPr>
          <w:bCs/>
          <w:color w:val="000000" w:themeColor="text1"/>
        </w:rPr>
        <w:t xml:space="preserve"> </w:t>
      </w:r>
      <w:r w:rsidR="00637ECE" w:rsidRPr="0075321D">
        <w:rPr>
          <w:bCs/>
          <w:color w:val="000000" w:themeColor="text1"/>
        </w:rPr>
        <w:t>t</w:t>
      </w:r>
      <w:r w:rsidR="00D46996" w:rsidRPr="0075321D">
        <w:rPr>
          <w:bCs/>
          <w:color w:val="000000" w:themeColor="text1"/>
        </w:rPr>
        <w:t xml:space="preserve">he </w:t>
      </w:r>
      <w:r w:rsidR="00D46996" w:rsidRPr="002E190D">
        <w:t>Commission</w:t>
      </w:r>
      <w:r w:rsidR="00D46996" w:rsidRPr="0075321D">
        <w:rPr>
          <w:bCs/>
          <w:color w:val="000000" w:themeColor="text1"/>
        </w:rPr>
        <w:t xml:space="preserve"> (here represented by EB) has the </w:t>
      </w:r>
      <w:r w:rsidR="00266844" w:rsidRPr="0075321D">
        <w:rPr>
          <w:bCs/>
          <w:color w:val="000000" w:themeColor="text1"/>
        </w:rPr>
        <w:t xml:space="preserve">burden of proceeding with the introduction of evidence and the </w:t>
      </w:r>
      <w:r w:rsidR="00D46996" w:rsidRPr="0075321D">
        <w:rPr>
          <w:bCs/>
          <w:color w:val="000000" w:themeColor="text1"/>
        </w:rPr>
        <w:t xml:space="preserve">overall burden of proof in a revocation proceeding.  </w:t>
      </w:r>
      <w:r w:rsidR="005D0398">
        <w:rPr>
          <w:bCs/>
          <w:color w:val="000000" w:themeColor="text1"/>
        </w:rPr>
        <w:t xml:space="preserve">But the ALJ erred as a matter of law in holding that EB must prove by a preponderance of the evidence that Titus was not rehabilitated.  </w:t>
      </w:r>
      <w:r w:rsidR="00533DA4">
        <w:rPr>
          <w:bCs/>
          <w:color w:val="000000" w:themeColor="text1"/>
        </w:rPr>
        <w:t>Rehabilitation</w:t>
      </w:r>
      <w:r w:rsidR="00AA7CAB">
        <w:rPr>
          <w:bCs/>
          <w:color w:val="000000" w:themeColor="text1"/>
        </w:rPr>
        <w:t xml:space="preserve"> </w:t>
      </w:r>
      <w:r w:rsidR="00533DA4">
        <w:rPr>
          <w:bCs/>
          <w:color w:val="000000" w:themeColor="text1"/>
        </w:rPr>
        <w:t xml:space="preserve">is in essence a defense to </w:t>
      </w:r>
      <w:r w:rsidR="00AA7CAB">
        <w:rPr>
          <w:bCs/>
          <w:color w:val="000000" w:themeColor="text1"/>
        </w:rPr>
        <w:t xml:space="preserve">EB’s </w:t>
      </w:r>
      <w:r w:rsidR="00533DA4">
        <w:rPr>
          <w:bCs/>
          <w:color w:val="000000" w:themeColor="text1"/>
        </w:rPr>
        <w:t>affirmative case.</w:t>
      </w:r>
      <w:r w:rsidR="008045CE" w:rsidRPr="0075321D">
        <w:rPr>
          <w:rStyle w:val="FootnoteReference"/>
          <w:bCs/>
          <w:color w:val="000000" w:themeColor="text1"/>
          <w:sz w:val="22"/>
        </w:rPr>
        <w:footnoteReference w:id="55"/>
      </w:r>
      <w:r w:rsidR="008045CE" w:rsidRPr="0075321D">
        <w:rPr>
          <w:bCs/>
          <w:color w:val="000000" w:themeColor="text1"/>
        </w:rPr>
        <w:t xml:space="preserve">  </w:t>
      </w:r>
      <w:r w:rsidR="00795709" w:rsidRPr="0075321D">
        <w:rPr>
          <w:bCs/>
          <w:color w:val="000000" w:themeColor="text1"/>
        </w:rPr>
        <w:t>Accordingly, o</w:t>
      </w:r>
      <w:r w:rsidR="00C56A99" w:rsidRPr="0075321D">
        <w:rPr>
          <w:bCs/>
          <w:color w:val="000000" w:themeColor="text1"/>
        </w:rPr>
        <w:t xml:space="preserve">nce EB demonstrated misconduct that </w:t>
      </w:r>
      <w:r w:rsidR="00533DA4">
        <w:rPr>
          <w:bCs/>
          <w:color w:val="000000" w:themeColor="text1"/>
        </w:rPr>
        <w:t xml:space="preserve">would be </w:t>
      </w:r>
      <w:r w:rsidR="00C56A99" w:rsidRPr="0075321D">
        <w:rPr>
          <w:bCs/>
          <w:color w:val="000000" w:themeColor="text1"/>
        </w:rPr>
        <w:t>disqualifying</w:t>
      </w:r>
      <w:r w:rsidR="00533DA4">
        <w:rPr>
          <w:bCs/>
          <w:color w:val="000000" w:themeColor="text1"/>
        </w:rPr>
        <w:t xml:space="preserve"> absent a defense or </w:t>
      </w:r>
      <w:r w:rsidR="00533DA4">
        <w:rPr>
          <w:bCs/>
          <w:color w:val="000000" w:themeColor="text1"/>
        </w:rPr>
        <w:lastRenderedPageBreak/>
        <w:t>counterargument by Titus</w:t>
      </w:r>
      <w:r w:rsidR="00C56A99" w:rsidRPr="0075321D">
        <w:rPr>
          <w:bCs/>
          <w:color w:val="000000" w:themeColor="text1"/>
        </w:rPr>
        <w:t xml:space="preserve">, </w:t>
      </w:r>
      <w:r w:rsidR="003535E6" w:rsidRPr="0075321D">
        <w:rPr>
          <w:bCs/>
          <w:color w:val="000000" w:themeColor="text1"/>
        </w:rPr>
        <w:t xml:space="preserve">EB </w:t>
      </w:r>
      <w:r w:rsidR="005D0398">
        <w:rPr>
          <w:bCs/>
          <w:color w:val="000000" w:themeColor="text1"/>
        </w:rPr>
        <w:t xml:space="preserve">has </w:t>
      </w:r>
      <w:r w:rsidR="00A85496" w:rsidRPr="0075321D">
        <w:rPr>
          <w:bCs/>
          <w:color w:val="000000" w:themeColor="text1"/>
        </w:rPr>
        <w:t>met</w:t>
      </w:r>
      <w:r w:rsidR="003535E6" w:rsidRPr="0075321D">
        <w:rPr>
          <w:bCs/>
          <w:color w:val="000000" w:themeColor="text1"/>
        </w:rPr>
        <w:t xml:space="preserve"> its burden of showing </w:t>
      </w:r>
      <w:r w:rsidR="001A5EB6" w:rsidRPr="0075321D">
        <w:rPr>
          <w:bCs/>
          <w:color w:val="000000" w:themeColor="text1"/>
        </w:rPr>
        <w:t xml:space="preserve">by a preponderance of the evidence </w:t>
      </w:r>
      <w:r w:rsidR="003535E6" w:rsidRPr="0075321D">
        <w:rPr>
          <w:bCs/>
          <w:color w:val="000000" w:themeColor="text1"/>
        </w:rPr>
        <w:t xml:space="preserve">that </w:t>
      </w:r>
      <w:r w:rsidR="00E7677F" w:rsidRPr="0075321D">
        <w:rPr>
          <w:bCs/>
          <w:color w:val="000000" w:themeColor="text1"/>
        </w:rPr>
        <w:t>Titus</w:t>
      </w:r>
      <w:r w:rsidR="006210C4" w:rsidRPr="0075321D">
        <w:rPr>
          <w:bCs/>
          <w:color w:val="000000" w:themeColor="text1"/>
        </w:rPr>
        <w:t xml:space="preserve"> </w:t>
      </w:r>
      <w:r w:rsidR="00266844" w:rsidRPr="0075321D">
        <w:rPr>
          <w:bCs/>
          <w:color w:val="000000" w:themeColor="text1"/>
        </w:rPr>
        <w:t>lacked the basic character qualification</w:t>
      </w:r>
      <w:r w:rsidR="00F426B8" w:rsidRPr="0075321D">
        <w:rPr>
          <w:bCs/>
          <w:color w:val="000000" w:themeColor="text1"/>
        </w:rPr>
        <w:t>s</w:t>
      </w:r>
      <w:r w:rsidR="00266844" w:rsidRPr="0075321D">
        <w:rPr>
          <w:bCs/>
          <w:color w:val="000000" w:themeColor="text1"/>
        </w:rPr>
        <w:t xml:space="preserve"> required to hold an FCC license</w:t>
      </w:r>
      <w:r w:rsidR="003535E6" w:rsidRPr="0075321D">
        <w:rPr>
          <w:bCs/>
          <w:color w:val="000000" w:themeColor="text1"/>
        </w:rPr>
        <w:t xml:space="preserve">.  </w:t>
      </w:r>
      <w:r w:rsidR="00795709" w:rsidRPr="0075321D">
        <w:rPr>
          <w:bCs/>
          <w:color w:val="000000" w:themeColor="text1"/>
        </w:rPr>
        <w:t>I</w:t>
      </w:r>
      <w:r w:rsidR="001A5EB6" w:rsidRPr="0075321D">
        <w:rPr>
          <w:bCs/>
          <w:color w:val="000000" w:themeColor="text1"/>
        </w:rPr>
        <w:t xml:space="preserve">n order to avoid revocation, </w:t>
      </w:r>
      <w:r w:rsidR="00C56A99" w:rsidRPr="0075321D">
        <w:rPr>
          <w:bCs/>
          <w:color w:val="000000" w:themeColor="text1"/>
        </w:rPr>
        <w:t xml:space="preserve">Titus </w:t>
      </w:r>
      <w:r w:rsidR="005928F2" w:rsidRPr="0075321D">
        <w:rPr>
          <w:bCs/>
          <w:color w:val="000000" w:themeColor="text1"/>
        </w:rPr>
        <w:t xml:space="preserve">then </w:t>
      </w:r>
      <w:r w:rsidR="008C2503" w:rsidRPr="0075321D">
        <w:rPr>
          <w:bCs/>
          <w:color w:val="000000" w:themeColor="text1"/>
        </w:rPr>
        <w:t>had</w:t>
      </w:r>
      <w:r w:rsidR="005928F2" w:rsidRPr="0075321D">
        <w:rPr>
          <w:bCs/>
          <w:color w:val="000000" w:themeColor="text1"/>
        </w:rPr>
        <w:t xml:space="preserve"> </w:t>
      </w:r>
      <w:r w:rsidR="00AA7CAB">
        <w:rPr>
          <w:bCs/>
          <w:color w:val="000000" w:themeColor="text1"/>
        </w:rPr>
        <w:t>to</w:t>
      </w:r>
      <w:r w:rsidR="00C56A99" w:rsidRPr="0075321D">
        <w:rPr>
          <w:bCs/>
          <w:color w:val="000000" w:themeColor="text1"/>
        </w:rPr>
        <w:t xml:space="preserve"> </w:t>
      </w:r>
      <w:r w:rsidR="0055318F" w:rsidRPr="0075321D">
        <w:rPr>
          <w:bCs/>
          <w:color w:val="000000" w:themeColor="text1"/>
        </w:rPr>
        <w:t>discredit or rebut</w:t>
      </w:r>
      <w:r w:rsidR="001A5EB6" w:rsidRPr="0075321D">
        <w:rPr>
          <w:bCs/>
          <w:color w:val="000000" w:themeColor="text1"/>
        </w:rPr>
        <w:t xml:space="preserve"> EB’s evidence</w:t>
      </w:r>
      <w:r w:rsidR="00ED1DC4" w:rsidRPr="0075321D">
        <w:rPr>
          <w:bCs/>
          <w:color w:val="000000" w:themeColor="text1"/>
        </w:rPr>
        <w:t xml:space="preserve"> by</w:t>
      </w:r>
      <w:r w:rsidR="001A5EB6" w:rsidRPr="0075321D">
        <w:rPr>
          <w:bCs/>
          <w:color w:val="000000" w:themeColor="text1"/>
        </w:rPr>
        <w:t xml:space="preserve">, for example, </w:t>
      </w:r>
      <w:r w:rsidR="00C56A99" w:rsidRPr="0075321D">
        <w:rPr>
          <w:bCs/>
          <w:color w:val="000000" w:themeColor="text1"/>
        </w:rPr>
        <w:t xml:space="preserve">showing that </w:t>
      </w:r>
      <w:r w:rsidR="00533DA4">
        <w:rPr>
          <w:bCs/>
          <w:color w:val="000000" w:themeColor="text1"/>
        </w:rPr>
        <w:t xml:space="preserve">he was rehabilitated sufficiently to </w:t>
      </w:r>
      <w:r w:rsidR="00C56A99" w:rsidRPr="0075321D">
        <w:rPr>
          <w:bCs/>
          <w:color w:val="000000" w:themeColor="text1"/>
        </w:rPr>
        <w:t xml:space="preserve">outweigh the </w:t>
      </w:r>
      <w:r w:rsidR="00AC5EEA" w:rsidRPr="0075321D">
        <w:rPr>
          <w:bCs/>
          <w:color w:val="000000" w:themeColor="text1"/>
        </w:rPr>
        <w:t>disqualifying evidence</w:t>
      </w:r>
      <w:r w:rsidR="00266844" w:rsidRPr="0075321D">
        <w:rPr>
          <w:bCs/>
          <w:color w:val="000000" w:themeColor="text1"/>
        </w:rPr>
        <w:t xml:space="preserve"> presented by EB</w:t>
      </w:r>
      <w:r w:rsidR="00C56A99" w:rsidRPr="0075321D">
        <w:rPr>
          <w:bCs/>
          <w:color w:val="000000" w:themeColor="text1"/>
        </w:rPr>
        <w:t>.</w:t>
      </w:r>
      <w:r w:rsidR="00250C62" w:rsidRPr="0075321D">
        <w:rPr>
          <w:rStyle w:val="FootnoteReference"/>
          <w:bCs/>
          <w:color w:val="000000" w:themeColor="text1"/>
          <w:sz w:val="22"/>
        </w:rPr>
        <w:footnoteReference w:id="56"/>
      </w:r>
      <w:r w:rsidR="0001645C" w:rsidRPr="0075321D">
        <w:rPr>
          <w:bCs/>
          <w:color w:val="000000" w:themeColor="text1"/>
        </w:rPr>
        <w:t xml:space="preserve">  </w:t>
      </w:r>
      <w:r w:rsidR="008045CE" w:rsidRPr="0075321D">
        <w:rPr>
          <w:color w:val="000000" w:themeColor="text1"/>
        </w:rPr>
        <w:t xml:space="preserve"> Therefore, the ALJ erred in </w:t>
      </w:r>
      <w:r w:rsidR="008045CE" w:rsidRPr="0075321D">
        <w:rPr>
          <w:bCs/>
          <w:color w:val="000000" w:themeColor="text1"/>
        </w:rPr>
        <w:t>suggesting that the burden was on EB to demonstrate specifically Titus’s “non-rehabilitation.”</w:t>
      </w:r>
      <w:r w:rsidR="008045CE" w:rsidRPr="0075321D">
        <w:rPr>
          <w:rStyle w:val="FootnoteReference"/>
          <w:bCs/>
          <w:color w:val="000000" w:themeColor="text1"/>
          <w:sz w:val="22"/>
        </w:rPr>
        <w:footnoteReference w:id="57"/>
      </w:r>
      <w:r w:rsidR="008045CE" w:rsidRPr="0075321D">
        <w:rPr>
          <w:bCs/>
          <w:color w:val="000000" w:themeColor="text1"/>
        </w:rPr>
        <w:t xml:space="preserve">  </w:t>
      </w:r>
    </w:p>
    <w:p w:rsidR="00F0169A" w:rsidRDefault="00342E6B" w:rsidP="002E190D">
      <w:pPr>
        <w:pStyle w:val="ParaNum"/>
      </w:pPr>
      <w:r w:rsidRPr="00B12C74">
        <w:t>T</w:t>
      </w:r>
      <w:r w:rsidR="00613448" w:rsidRPr="00B12C74">
        <w:t xml:space="preserve">he ALJ’s </w:t>
      </w:r>
      <w:r w:rsidR="00E363AA">
        <w:t xml:space="preserve">more </w:t>
      </w:r>
      <w:r w:rsidR="00613448" w:rsidRPr="00B12C74">
        <w:t>consequential error</w:t>
      </w:r>
      <w:r w:rsidR="008045CE" w:rsidRPr="00B12C74">
        <w:t>, however</w:t>
      </w:r>
      <w:r w:rsidR="00DF457F" w:rsidRPr="00B12C74">
        <w:t>,</w:t>
      </w:r>
      <w:r w:rsidR="00613448" w:rsidRPr="00B12C74">
        <w:t xml:space="preserve"> was the manner in which he </w:t>
      </w:r>
      <w:r w:rsidR="0078719F" w:rsidRPr="00B12C74">
        <w:t xml:space="preserve">evaluated </w:t>
      </w:r>
      <w:r w:rsidR="00613448" w:rsidRPr="00B12C74">
        <w:t xml:space="preserve">the evidence in </w:t>
      </w:r>
      <w:r w:rsidR="00E154F1" w:rsidRPr="00B12C74">
        <w:t xml:space="preserve">reaching the conclusion that </w:t>
      </w:r>
      <w:r w:rsidR="00613448" w:rsidRPr="00B12C74">
        <w:t xml:space="preserve">Titus was rehabilitated.  </w:t>
      </w:r>
      <w:r w:rsidR="001C6950" w:rsidRPr="00B12C74">
        <w:t xml:space="preserve">In conducting </w:t>
      </w:r>
      <w:r w:rsidR="00CF21DA" w:rsidRPr="00B12C74">
        <w:t>that analysis</w:t>
      </w:r>
      <w:r w:rsidR="001C6950" w:rsidRPr="00B12C74">
        <w:t xml:space="preserve">, </w:t>
      </w:r>
      <w:r w:rsidR="00904E0A" w:rsidRPr="00B12C74">
        <w:t>t</w:t>
      </w:r>
      <w:r w:rsidR="00C56A99" w:rsidRPr="00B12C74">
        <w:t xml:space="preserve">he ALJ </w:t>
      </w:r>
      <w:r w:rsidR="005F6249" w:rsidRPr="00B12C74">
        <w:t>discounted</w:t>
      </w:r>
      <w:r w:rsidR="00797FC4" w:rsidRPr="00B12C74">
        <w:t xml:space="preserve"> EB’s </w:t>
      </w:r>
      <w:r w:rsidR="005F6249" w:rsidRPr="00B12C74">
        <w:t xml:space="preserve">evidence </w:t>
      </w:r>
      <w:r w:rsidR="00B17850" w:rsidRPr="00B12C74">
        <w:t xml:space="preserve">of Titus’s status </w:t>
      </w:r>
      <w:r w:rsidR="009400D4" w:rsidRPr="00C81F52">
        <w:t xml:space="preserve">as a </w:t>
      </w:r>
      <w:r w:rsidR="00926AA5">
        <w:t xml:space="preserve">designated high risk </w:t>
      </w:r>
      <w:r w:rsidR="009400D4" w:rsidRPr="00C81F52">
        <w:t xml:space="preserve">sex offender </w:t>
      </w:r>
      <w:r w:rsidR="005F6249" w:rsidRPr="00C81F52">
        <w:t>almost entirely</w:t>
      </w:r>
      <w:r w:rsidR="0007339C">
        <w:t>—</w:t>
      </w:r>
      <w:r w:rsidR="00B71343">
        <w:t>let alone the evidence that the State had elevated Titus’s assigned risk level</w:t>
      </w:r>
      <w:r w:rsidR="00926AA5">
        <w:t xml:space="preserve"> after Titus’s release from prison</w:t>
      </w:r>
      <w:r w:rsidR="0007339C">
        <w:t>—</w:t>
      </w:r>
      <w:r w:rsidR="00CF21DA" w:rsidRPr="00C81F52">
        <w:t>holding</w:t>
      </w:r>
      <w:r w:rsidR="005F6249" w:rsidRPr="00734C9F">
        <w:t xml:space="preserve"> that it </w:t>
      </w:r>
      <w:r w:rsidR="001C6950" w:rsidRPr="00734C9F">
        <w:t>was offset by T</w:t>
      </w:r>
      <w:r w:rsidR="00B17850" w:rsidRPr="00734C9F">
        <w:t xml:space="preserve">itus’s </w:t>
      </w:r>
      <w:r w:rsidR="001C6950" w:rsidRPr="00734C9F">
        <w:t>showing of r</w:t>
      </w:r>
      <w:r w:rsidR="00B17850" w:rsidRPr="00734C9F">
        <w:t xml:space="preserve">ehabilitation.  </w:t>
      </w:r>
      <w:r w:rsidR="00C56A99" w:rsidRPr="00734C9F">
        <w:rPr>
          <w:bCs/>
        </w:rPr>
        <w:t>We agree with EB</w:t>
      </w:r>
      <w:r w:rsidR="00DA033E" w:rsidRPr="00734C9F">
        <w:rPr>
          <w:bCs/>
        </w:rPr>
        <w:t xml:space="preserve"> </w:t>
      </w:r>
      <w:r w:rsidR="00C56A99" w:rsidRPr="00734C9F">
        <w:rPr>
          <w:bCs/>
        </w:rPr>
        <w:t xml:space="preserve">that the ALJ did not </w:t>
      </w:r>
      <w:r w:rsidR="000B52B0" w:rsidRPr="00734C9F">
        <w:rPr>
          <w:bCs/>
        </w:rPr>
        <w:t xml:space="preserve">properly credit </w:t>
      </w:r>
      <w:r w:rsidR="00C56A99" w:rsidRPr="00734C9F">
        <w:rPr>
          <w:bCs/>
        </w:rPr>
        <w:t xml:space="preserve">the State’s </w:t>
      </w:r>
      <w:r w:rsidR="00CF21DA" w:rsidRPr="00734C9F">
        <w:rPr>
          <w:bCs/>
        </w:rPr>
        <w:t xml:space="preserve">determination </w:t>
      </w:r>
      <w:r w:rsidR="00C56A99" w:rsidRPr="00734C9F">
        <w:rPr>
          <w:bCs/>
        </w:rPr>
        <w:t>that Titus remains a continuing risk to the community</w:t>
      </w:r>
      <w:r w:rsidR="009F6E07" w:rsidRPr="00B12C74">
        <w:rPr>
          <w:bCs/>
        </w:rPr>
        <w:t xml:space="preserve">.  </w:t>
      </w:r>
    </w:p>
    <w:p w:rsidR="00F0169A" w:rsidRDefault="00B12C74" w:rsidP="002E190D">
      <w:pPr>
        <w:pStyle w:val="ParaNum"/>
        <w:rPr>
          <w:bCs/>
          <w:color w:val="000000" w:themeColor="text1"/>
        </w:rPr>
      </w:pPr>
      <w:r w:rsidRPr="00B12C74">
        <w:rPr>
          <w:bCs/>
          <w:color w:val="000000" w:themeColor="text1"/>
        </w:rPr>
        <w:t xml:space="preserve">In particular, the record </w:t>
      </w:r>
      <w:r w:rsidR="00C32862" w:rsidRPr="00B12C74">
        <w:t xml:space="preserve">shows that upon </w:t>
      </w:r>
      <w:r w:rsidR="00E7677F" w:rsidRPr="00B12C74">
        <w:t>Titus’s</w:t>
      </w:r>
      <w:r w:rsidR="00C32862" w:rsidRPr="00B12C74">
        <w:t xml:space="preserve"> release from prison in 1995, a committee of the Seattle Police Department chaired by Det</w:t>
      </w:r>
      <w:r w:rsidR="00CF21DA" w:rsidRPr="00B12C74">
        <w:t>ective</w:t>
      </w:r>
      <w:r w:rsidR="00C32862" w:rsidRPr="00B12C74">
        <w:t xml:space="preserve"> </w:t>
      </w:r>
      <w:r>
        <w:t xml:space="preserve">Robert </w:t>
      </w:r>
      <w:r w:rsidR="00C32862" w:rsidRPr="00B12C74">
        <w:t xml:space="preserve">Shilling reviewed and assessed </w:t>
      </w:r>
      <w:r w:rsidR="00E7677F" w:rsidRPr="00B12C74">
        <w:t>Titus’s</w:t>
      </w:r>
      <w:r w:rsidR="00C32862" w:rsidRPr="00B12C74">
        <w:t xml:space="preserve"> risk to the community.  The committee designated Titus as a Level 2</w:t>
      </w:r>
      <w:r w:rsidR="00CF21DA" w:rsidRPr="00B12C74">
        <w:t>,</w:t>
      </w:r>
      <w:r w:rsidR="00C32862" w:rsidRPr="00B12C74">
        <w:t xml:space="preserve"> or moderate</w:t>
      </w:r>
      <w:r w:rsidR="00AF5B7E">
        <w:t xml:space="preserve"> </w:t>
      </w:r>
      <w:r w:rsidR="00C32862" w:rsidRPr="00B12C74">
        <w:t>risk</w:t>
      </w:r>
      <w:r w:rsidR="00AF5B7E">
        <w:t>, offender</w:t>
      </w:r>
      <w:r w:rsidR="00C32862" w:rsidRPr="00B12C74">
        <w:t>.</w:t>
      </w:r>
      <w:r w:rsidR="00C32862" w:rsidRPr="0075321D">
        <w:rPr>
          <w:rStyle w:val="FootnoteReference"/>
          <w:sz w:val="22"/>
        </w:rPr>
        <w:footnoteReference w:id="58"/>
      </w:r>
      <w:r w:rsidR="00C32862" w:rsidRPr="00B12C74">
        <w:t xml:space="preserve">  Subsequently, in 2004, the Seattle Police Department </w:t>
      </w:r>
      <w:r w:rsidR="00C32862" w:rsidRPr="002E190D">
        <w:t>issued</w:t>
      </w:r>
      <w:r w:rsidR="00C32862" w:rsidRPr="00B12C74">
        <w:t xml:space="preserve"> a “Sex or Kidnapping Offender Release Bulletin,” indicating that </w:t>
      </w:r>
      <w:r w:rsidRPr="00B12C74">
        <w:t xml:space="preserve">it had determined that </w:t>
      </w:r>
      <w:r w:rsidR="00C32862" w:rsidRPr="00B12C74">
        <w:t xml:space="preserve">Titus </w:t>
      </w:r>
      <w:r w:rsidRPr="00B12C74">
        <w:t xml:space="preserve">should be reclassified as </w:t>
      </w:r>
      <w:r w:rsidR="00C32862" w:rsidRPr="00B12C74">
        <w:t>a Level 3</w:t>
      </w:r>
      <w:r w:rsidRPr="00B12C74">
        <w:t xml:space="preserve">, or </w:t>
      </w:r>
      <w:r w:rsidR="00C32862" w:rsidRPr="00B12C74">
        <w:t>high risk</w:t>
      </w:r>
      <w:r w:rsidRPr="00B12C74">
        <w:t>,</w:t>
      </w:r>
      <w:r w:rsidR="00C32862" w:rsidRPr="00B12C74">
        <w:t xml:space="preserve"> offender</w:t>
      </w:r>
      <w:r w:rsidR="00C32862" w:rsidRPr="00734C9F">
        <w:t>.</w:t>
      </w:r>
      <w:r w:rsidR="00C32862" w:rsidRPr="0075321D">
        <w:rPr>
          <w:rStyle w:val="FootnoteReference"/>
          <w:sz w:val="22"/>
        </w:rPr>
        <w:footnoteReference w:id="59"/>
      </w:r>
      <w:r w:rsidR="00C32862" w:rsidRPr="00B12C74">
        <w:t xml:space="preserve">  </w:t>
      </w:r>
      <w:r w:rsidR="001C2A60" w:rsidRPr="0075321D">
        <w:rPr>
          <w:color w:val="000000" w:themeColor="text1"/>
        </w:rPr>
        <w:t xml:space="preserve">We find that </w:t>
      </w:r>
      <w:r w:rsidR="00597019" w:rsidRPr="0075321D">
        <w:rPr>
          <w:color w:val="000000" w:themeColor="text1"/>
        </w:rPr>
        <w:t xml:space="preserve">our licensing decision here </w:t>
      </w:r>
      <w:r w:rsidR="001C7146" w:rsidRPr="0075321D">
        <w:rPr>
          <w:color w:val="000000" w:themeColor="text1"/>
        </w:rPr>
        <w:t>should</w:t>
      </w:r>
      <w:r w:rsidR="00597019" w:rsidRPr="0075321D">
        <w:rPr>
          <w:color w:val="000000" w:themeColor="text1"/>
        </w:rPr>
        <w:t xml:space="preserve"> give due regard </w:t>
      </w:r>
      <w:r w:rsidR="009B2AE6" w:rsidRPr="0075321D">
        <w:rPr>
          <w:color w:val="000000" w:themeColor="text1"/>
        </w:rPr>
        <w:t xml:space="preserve">to </w:t>
      </w:r>
      <w:r w:rsidR="00597019" w:rsidRPr="0075321D">
        <w:rPr>
          <w:color w:val="000000" w:themeColor="text1"/>
        </w:rPr>
        <w:t>local</w:t>
      </w:r>
      <w:r w:rsidR="009B2AE6" w:rsidRPr="0075321D">
        <w:rPr>
          <w:color w:val="000000" w:themeColor="text1"/>
        </w:rPr>
        <w:t xml:space="preserve"> authorities’</w:t>
      </w:r>
      <w:r w:rsidR="00E951BE" w:rsidRPr="0075321D">
        <w:rPr>
          <w:color w:val="000000" w:themeColor="text1"/>
        </w:rPr>
        <w:t xml:space="preserve"> </w:t>
      </w:r>
      <w:r w:rsidR="00E951BE" w:rsidRPr="0075321D">
        <w:rPr>
          <w:color w:val="000000" w:themeColor="text1"/>
        </w:rPr>
        <w:lastRenderedPageBreak/>
        <w:t>determination that</w:t>
      </w:r>
      <w:r w:rsidR="00597019" w:rsidRPr="0075321D">
        <w:rPr>
          <w:color w:val="000000" w:themeColor="text1"/>
        </w:rPr>
        <w:t xml:space="preserve"> </w:t>
      </w:r>
      <w:r w:rsidR="00C56A99" w:rsidRPr="0075321D">
        <w:rPr>
          <w:color w:val="000000" w:themeColor="text1"/>
        </w:rPr>
        <w:t xml:space="preserve">Titus </w:t>
      </w:r>
      <w:r w:rsidR="009B2AE6" w:rsidRPr="0075321D">
        <w:rPr>
          <w:color w:val="000000" w:themeColor="text1"/>
        </w:rPr>
        <w:t>poses an ongoing</w:t>
      </w:r>
      <w:r w:rsidR="00C56A99" w:rsidRPr="0075321D">
        <w:rPr>
          <w:color w:val="000000" w:themeColor="text1"/>
        </w:rPr>
        <w:t xml:space="preserve"> </w:t>
      </w:r>
      <w:r w:rsidR="009811BE">
        <w:rPr>
          <w:color w:val="000000" w:themeColor="text1"/>
        </w:rPr>
        <w:t xml:space="preserve">“high </w:t>
      </w:r>
      <w:r w:rsidR="00C56A99" w:rsidRPr="0075321D">
        <w:rPr>
          <w:color w:val="000000" w:themeColor="text1"/>
        </w:rPr>
        <w:t>risk</w:t>
      </w:r>
      <w:r w:rsidR="009811BE">
        <w:rPr>
          <w:color w:val="000000" w:themeColor="text1"/>
        </w:rPr>
        <w:t>”</w:t>
      </w:r>
      <w:r w:rsidR="00C56A99" w:rsidRPr="0075321D">
        <w:rPr>
          <w:color w:val="000000" w:themeColor="text1"/>
        </w:rPr>
        <w:t xml:space="preserve"> to the community. </w:t>
      </w:r>
      <w:r w:rsidR="00531282" w:rsidRPr="0075321D">
        <w:rPr>
          <w:color w:val="000000" w:themeColor="text1"/>
        </w:rPr>
        <w:t xml:space="preserve"> </w:t>
      </w:r>
      <w:r w:rsidR="001C2A60" w:rsidRPr="0075321D">
        <w:rPr>
          <w:color w:val="000000" w:themeColor="text1"/>
        </w:rPr>
        <w:t xml:space="preserve">As we </w:t>
      </w:r>
      <w:r>
        <w:rPr>
          <w:color w:val="000000" w:themeColor="text1"/>
        </w:rPr>
        <w:t>held</w:t>
      </w:r>
      <w:r w:rsidRPr="0075321D">
        <w:rPr>
          <w:color w:val="000000" w:themeColor="text1"/>
        </w:rPr>
        <w:t xml:space="preserve"> </w:t>
      </w:r>
      <w:r w:rsidR="001C2A60" w:rsidRPr="0075321D">
        <w:rPr>
          <w:color w:val="000000" w:themeColor="text1"/>
        </w:rPr>
        <w:t xml:space="preserve">in </w:t>
      </w:r>
      <w:r w:rsidR="00C56A99" w:rsidRPr="0075321D">
        <w:rPr>
          <w:i/>
          <w:iCs/>
          <w:color w:val="000000" w:themeColor="text1"/>
        </w:rPr>
        <w:t>Spanish Radio</w:t>
      </w:r>
      <w:r w:rsidR="001C2A60" w:rsidRPr="0075321D">
        <w:rPr>
          <w:i/>
          <w:iCs/>
          <w:color w:val="000000" w:themeColor="text1"/>
        </w:rPr>
        <w:t xml:space="preserve"> Network</w:t>
      </w:r>
      <w:r w:rsidR="001C2A60" w:rsidRPr="0075321D">
        <w:t>,</w:t>
      </w:r>
      <w:r w:rsidR="001C2A60" w:rsidRPr="0075321D">
        <w:rPr>
          <w:rStyle w:val="FootnoteReference"/>
          <w:sz w:val="22"/>
        </w:rPr>
        <w:footnoteReference w:id="60"/>
      </w:r>
      <w:r w:rsidR="001C2A60" w:rsidRPr="0075321D">
        <w:rPr>
          <w:i/>
          <w:iCs/>
          <w:color w:val="000000" w:themeColor="text1"/>
        </w:rPr>
        <w:t xml:space="preserve"> </w:t>
      </w:r>
      <w:r w:rsidR="001C2A60" w:rsidRPr="0075321D">
        <w:rPr>
          <w:iCs/>
          <w:color w:val="000000" w:themeColor="text1"/>
        </w:rPr>
        <w:t xml:space="preserve">local authorities responsible for keeping the peace and enforcing the law are better positioned to make </w:t>
      </w:r>
      <w:r>
        <w:rPr>
          <w:iCs/>
          <w:color w:val="000000" w:themeColor="text1"/>
        </w:rPr>
        <w:t>the</w:t>
      </w:r>
      <w:r w:rsidRPr="0075321D">
        <w:rPr>
          <w:iCs/>
          <w:color w:val="000000" w:themeColor="text1"/>
        </w:rPr>
        <w:t xml:space="preserve"> </w:t>
      </w:r>
      <w:r w:rsidR="001C2A60" w:rsidRPr="0075321D">
        <w:rPr>
          <w:iCs/>
          <w:color w:val="000000" w:themeColor="text1"/>
        </w:rPr>
        <w:t xml:space="preserve">determination whether </w:t>
      </w:r>
      <w:r w:rsidR="001C7146" w:rsidRPr="0075321D">
        <w:rPr>
          <w:iCs/>
          <w:color w:val="000000" w:themeColor="text1"/>
        </w:rPr>
        <w:t>an individual</w:t>
      </w:r>
      <w:r w:rsidR="000B324E" w:rsidRPr="0075321D">
        <w:rPr>
          <w:iCs/>
          <w:color w:val="000000" w:themeColor="text1"/>
        </w:rPr>
        <w:t xml:space="preserve"> </w:t>
      </w:r>
      <w:r w:rsidR="00597019" w:rsidRPr="0075321D">
        <w:rPr>
          <w:iCs/>
          <w:color w:val="000000" w:themeColor="text1"/>
        </w:rPr>
        <w:t>pose</w:t>
      </w:r>
      <w:r w:rsidR="001C7146" w:rsidRPr="0075321D">
        <w:rPr>
          <w:iCs/>
          <w:color w:val="000000" w:themeColor="text1"/>
        </w:rPr>
        <w:t>s</w:t>
      </w:r>
      <w:r w:rsidR="00597019" w:rsidRPr="0075321D">
        <w:rPr>
          <w:iCs/>
          <w:color w:val="000000" w:themeColor="text1"/>
        </w:rPr>
        <w:t xml:space="preserve"> </w:t>
      </w:r>
      <w:r w:rsidR="001C2A60" w:rsidRPr="0075321D">
        <w:rPr>
          <w:iCs/>
          <w:color w:val="000000" w:themeColor="text1"/>
        </w:rPr>
        <w:t>a danger to the community</w:t>
      </w:r>
      <w:r w:rsidR="00531282" w:rsidRPr="0075321D">
        <w:rPr>
          <w:iCs/>
          <w:color w:val="000000" w:themeColor="text1"/>
        </w:rPr>
        <w:t xml:space="preserve"> than is the Commission</w:t>
      </w:r>
      <w:r w:rsidR="001C2A60" w:rsidRPr="0075321D">
        <w:rPr>
          <w:iCs/>
          <w:color w:val="000000" w:themeColor="text1"/>
        </w:rPr>
        <w:t xml:space="preserve">.  </w:t>
      </w:r>
    </w:p>
    <w:p w:rsidR="00F0169A" w:rsidRDefault="00FF308B" w:rsidP="002E190D">
      <w:pPr>
        <w:pStyle w:val="ParaNum"/>
        <w:rPr>
          <w:bCs/>
          <w:color w:val="000000" w:themeColor="text1"/>
        </w:rPr>
      </w:pPr>
      <w:r w:rsidRPr="0075321D">
        <w:rPr>
          <w:iCs/>
          <w:color w:val="000000" w:themeColor="text1"/>
        </w:rPr>
        <w:t xml:space="preserve">It is especially appropriate to defer to state </w:t>
      </w:r>
      <w:r w:rsidRPr="002E190D">
        <w:t>judgments</w:t>
      </w:r>
      <w:r w:rsidRPr="0075321D">
        <w:rPr>
          <w:iCs/>
          <w:color w:val="000000" w:themeColor="text1"/>
        </w:rPr>
        <w:t xml:space="preserve"> about sex offenders</w:t>
      </w:r>
      <w:r w:rsidR="003E3D4C" w:rsidRPr="0075321D">
        <w:rPr>
          <w:iCs/>
          <w:color w:val="000000" w:themeColor="text1"/>
        </w:rPr>
        <w:t>,</w:t>
      </w:r>
      <w:r w:rsidRPr="0075321D">
        <w:rPr>
          <w:iCs/>
          <w:color w:val="000000" w:themeColor="text1"/>
        </w:rPr>
        <w:t xml:space="preserve"> in view of the fact that </w:t>
      </w:r>
      <w:r w:rsidR="009811BE">
        <w:rPr>
          <w:iCs/>
          <w:color w:val="000000" w:themeColor="text1"/>
        </w:rPr>
        <w:t xml:space="preserve">many </w:t>
      </w:r>
      <w:r w:rsidRPr="0075321D">
        <w:rPr>
          <w:iCs/>
          <w:color w:val="000000" w:themeColor="text1"/>
        </w:rPr>
        <w:t xml:space="preserve">states </w:t>
      </w:r>
      <w:r w:rsidR="00E951BE" w:rsidRPr="0075321D">
        <w:rPr>
          <w:iCs/>
          <w:color w:val="000000" w:themeColor="text1"/>
        </w:rPr>
        <w:t xml:space="preserve">treat </w:t>
      </w:r>
      <w:r w:rsidR="00CB73AE" w:rsidRPr="0075321D">
        <w:rPr>
          <w:iCs/>
          <w:color w:val="000000" w:themeColor="text1"/>
        </w:rPr>
        <w:t xml:space="preserve">sex offenders </w:t>
      </w:r>
      <w:r w:rsidR="00B46C3A" w:rsidRPr="0075321D">
        <w:rPr>
          <w:iCs/>
          <w:color w:val="000000" w:themeColor="text1"/>
        </w:rPr>
        <w:t>different</w:t>
      </w:r>
      <w:r w:rsidR="00E951BE" w:rsidRPr="0075321D">
        <w:rPr>
          <w:iCs/>
          <w:color w:val="000000" w:themeColor="text1"/>
        </w:rPr>
        <w:t>ly</w:t>
      </w:r>
      <w:r w:rsidR="00B46C3A" w:rsidRPr="0075321D">
        <w:rPr>
          <w:iCs/>
          <w:color w:val="000000" w:themeColor="text1"/>
        </w:rPr>
        <w:t xml:space="preserve"> from </w:t>
      </w:r>
      <w:r w:rsidR="009B2AE6" w:rsidRPr="0075321D">
        <w:rPr>
          <w:iCs/>
          <w:color w:val="000000" w:themeColor="text1"/>
        </w:rPr>
        <w:t xml:space="preserve">other </w:t>
      </w:r>
      <w:r w:rsidR="00CB73AE" w:rsidRPr="0075321D">
        <w:rPr>
          <w:iCs/>
          <w:color w:val="000000" w:themeColor="text1"/>
        </w:rPr>
        <w:t>felons.</w:t>
      </w:r>
      <w:r w:rsidR="00FD6BD8" w:rsidRPr="0075321D">
        <w:rPr>
          <w:rStyle w:val="FootnoteReference"/>
          <w:iCs/>
          <w:color w:val="000000" w:themeColor="text1"/>
          <w:sz w:val="22"/>
        </w:rPr>
        <w:footnoteReference w:id="61"/>
      </w:r>
      <w:r w:rsidR="00CB73AE" w:rsidRPr="0075321D">
        <w:rPr>
          <w:iCs/>
          <w:color w:val="000000" w:themeColor="text1"/>
        </w:rPr>
        <w:t xml:space="preserve">  </w:t>
      </w:r>
      <w:r w:rsidR="009B2AE6" w:rsidRPr="0075321D">
        <w:rPr>
          <w:iCs/>
          <w:color w:val="000000" w:themeColor="text1"/>
        </w:rPr>
        <w:t xml:space="preserve"> For example</w:t>
      </w:r>
      <w:r w:rsidR="0090408E" w:rsidRPr="0075321D">
        <w:rPr>
          <w:iCs/>
          <w:color w:val="000000" w:themeColor="text1"/>
        </w:rPr>
        <w:t xml:space="preserve">, </w:t>
      </w:r>
      <w:r w:rsidR="001C7146" w:rsidRPr="0075321D">
        <w:rPr>
          <w:iCs/>
          <w:color w:val="000000" w:themeColor="text1"/>
        </w:rPr>
        <w:t xml:space="preserve">in managing risks associated with the presence of </w:t>
      </w:r>
      <w:r w:rsidR="0089010C" w:rsidRPr="0075321D">
        <w:rPr>
          <w:iCs/>
          <w:color w:val="000000" w:themeColor="text1"/>
        </w:rPr>
        <w:t>sex offender</w:t>
      </w:r>
      <w:r w:rsidR="001C7146" w:rsidRPr="0075321D">
        <w:rPr>
          <w:iCs/>
          <w:color w:val="000000" w:themeColor="text1"/>
        </w:rPr>
        <w:t>s in the community,</w:t>
      </w:r>
      <w:r w:rsidRPr="0075321D">
        <w:rPr>
          <w:iCs/>
          <w:color w:val="000000" w:themeColor="text1"/>
        </w:rPr>
        <w:t xml:space="preserve"> </w:t>
      </w:r>
      <w:r w:rsidR="0089010C" w:rsidRPr="0075321D">
        <w:rPr>
          <w:iCs/>
          <w:color w:val="000000" w:themeColor="text1"/>
        </w:rPr>
        <w:t xml:space="preserve">states rely on strategies </w:t>
      </w:r>
      <w:r w:rsidR="001C7146" w:rsidRPr="0075321D">
        <w:rPr>
          <w:iCs/>
          <w:color w:val="000000" w:themeColor="text1"/>
        </w:rPr>
        <w:t xml:space="preserve">that include </w:t>
      </w:r>
      <w:r w:rsidR="00AE29F4" w:rsidRPr="0075321D">
        <w:rPr>
          <w:iCs/>
          <w:color w:val="000000" w:themeColor="text1"/>
        </w:rPr>
        <w:t>assessment, supervision, treatment, registration and community notification.</w:t>
      </w:r>
      <w:r w:rsidR="000B324E" w:rsidRPr="0075321D">
        <w:rPr>
          <w:rStyle w:val="FootnoteReference"/>
          <w:iCs/>
          <w:color w:val="000000" w:themeColor="text1"/>
          <w:sz w:val="22"/>
        </w:rPr>
        <w:footnoteReference w:id="62"/>
      </w:r>
      <w:r w:rsidR="00AC13E8" w:rsidRPr="0075321D">
        <w:rPr>
          <w:iCs/>
          <w:color w:val="000000" w:themeColor="text1"/>
        </w:rPr>
        <w:t xml:space="preserve">  </w:t>
      </w:r>
      <w:r w:rsidR="009B2AE6" w:rsidRPr="0075321D">
        <w:rPr>
          <w:iCs/>
          <w:color w:val="000000" w:themeColor="text1"/>
        </w:rPr>
        <w:t xml:space="preserve">Moreover, </w:t>
      </w:r>
      <w:r w:rsidR="009B2AE6" w:rsidRPr="0075321D">
        <w:rPr>
          <w:bCs/>
          <w:color w:val="000000" w:themeColor="text1"/>
        </w:rPr>
        <w:t>t</w:t>
      </w:r>
      <w:r w:rsidR="00B26192" w:rsidRPr="0075321D">
        <w:rPr>
          <w:bCs/>
          <w:color w:val="000000" w:themeColor="text1"/>
        </w:rPr>
        <w:t xml:space="preserve">he measures adopted by a particular state </w:t>
      </w:r>
      <w:r w:rsidR="0089010C" w:rsidRPr="0075321D">
        <w:rPr>
          <w:bCs/>
          <w:color w:val="000000" w:themeColor="text1"/>
        </w:rPr>
        <w:t xml:space="preserve">often </w:t>
      </w:r>
      <w:r w:rsidR="00D92A3B" w:rsidRPr="0075321D">
        <w:rPr>
          <w:bCs/>
          <w:color w:val="000000" w:themeColor="text1"/>
        </w:rPr>
        <w:t>reflect the state’s judgment</w:t>
      </w:r>
      <w:r w:rsidR="009B2AE6" w:rsidRPr="0075321D">
        <w:rPr>
          <w:bCs/>
          <w:color w:val="000000" w:themeColor="text1"/>
        </w:rPr>
        <w:t xml:space="preserve">, based on specialized knowledge that the Commission lacks, </w:t>
      </w:r>
      <w:r w:rsidR="00D92A3B" w:rsidRPr="0075321D">
        <w:rPr>
          <w:bCs/>
          <w:color w:val="000000" w:themeColor="text1"/>
        </w:rPr>
        <w:t xml:space="preserve">as to what particular methods </w:t>
      </w:r>
      <w:r w:rsidR="00BF336F" w:rsidRPr="0075321D">
        <w:rPr>
          <w:bCs/>
          <w:color w:val="000000" w:themeColor="text1"/>
        </w:rPr>
        <w:t xml:space="preserve">and approaches </w:t>
      </w:r>
      <w:r w:rsidR="00D92A3B" w:rsidRPr="0075321D">
        <w:rPr>
          <w:bCs/>
          <w:color w:val="000000" w:themeColor="text1"/>
        </w:rPr>
        <w:t>are appropriate</w:t>
      </w:r>
      <w:r w:rsidR="0047551F" w:rsidRPr="0075321D">
        <w:rPr>
          <w:bCs/>
          <w:color w:val="000000" w:themeColor="text1"/>
        </w:rPr>
        <w:t xml:space="preserve"> in that </w:t>
      </w:r>
      <w:r w:rsidR="00860B60" w:rsidRPr="0075321D">
        <w:rPr>
          <w:bCs/>
          <w:color w:val="000000" w:themeColor="text1"/>
        </w:rPr>
        <w:t>jurisdiction</w:t>
      </w:r>
      <w:r w:rsidR="00D92A3B" w:rsidRPr="0075321D">
        <w:rPr>
          <w:bCs/>
          <w:color w:val="000000" w:themeColor="text1"/>
        </w:rPr>
        <w:t>.</w:t>
      </w:r>
      <w:r w:rsidR="00D92A3B" w:rsidRPr="0075321D">
        <w:rPr>
          <w:rStyle w:val="FootnoteReference"/>
          <w:bCs/>
          <w:color w:val="000000" w:themeColor="text1"/>
          <w:sz w:val="22"/>
        </w:rPr>
        <w:footnoteReference w:id="63"/>
      </w:r>
      <w:r w:rsidR="00BF336F" w:rsidRPr="0075321D">
        <w:rPr>
          <w:bCs/>
          <w:color w:val="000000" w:themeColor="text1"/>
        </w:rPr>
        <w:t xml:space="preserve">  </w:t>
      </w:r>
      <w:r w:rsidR="001C7146" w:rsidRPr="0075321D">
        <w:rPr>
          <w:bCs/>
          <w:color w:val="000000" w:themeColor="text1"/>
        </w:rPr>
        <w:t>Given the greater expertise of local authorities in evaluating the risks that sex offenders pose to their communities</w:t>
      </w:r>
      <w:r w:rsidR="00860B60" w:rsidRPr="0075321D">
        <w:rPr>
          <w:bCs/>
          <w:color w:val="000000" w:themeColor="text1"/>
        </w:rPr>
        <w:t>, w</w:t>
      </w:r>
      <w:r w:rsidR="00BF336F" w:rsidRPr="0075321D">
        <w:rPr>
          <w:bCs/>
          <w:color w:val="000000" w:themeColor="text1"/>
        </w:rPr>
        <w:t xml:space="preserve">e will not </w:t>
      </w:r>
      <w:r w:rsidR="003627B1" w:rsidRPr="0075321D">
        <w:rPr>
          <w:bCs/>
          <w:color w:val="000000" w:themeColor="text1"/>
        </w:rPr>
        <w:t xml:space="preserve">question </w:t>
      </w:r>
      <w:r w:rsidR="00BF336F" w:rsidRPr="0075321D">
        <w:rPr>
          <w:bCs/>
          <w:color w:val="000000" w:themeColor="text1"/>
        </w:rPr>
        <w:t xml:space="preserve">the state’s judgment and </w:t>
      </w:r>
      <w:r w:rsidR="00E6670D" w:rsidRPr="0075321D">
        <w:rPr>
          <w:bCs/>
          <w:color w:val="000000" w:themeColor="text1"/>
        </w:rPr>
        <w:t xml:space="preserve">the </w:t>
      </w:r>
      <w:r w:rsidR="00BF336F" w:rsidRPr="0075321D">
        <w:rPr>
          <w:bCs/>
          <w:color w:val="000000" w:themeColor="text1"/>
        </w:rPr>
        <w:t xml:space="preserve">exercise of its discretion in this area.   </w:t>
      </w:r>
    </w:p>
    <w:p w:rsidR="00A57BEC" w:rsidRPr="001B5E7D" w:rsidRDefault="00726FED" w:rsidP="002E190D">
      <w:pPr>
        <w:pStyle w:val="ParaNum"/>
        <w:rPr>
          <w:bCs/>
          <w:color w:val="000000" w:themeColor="text1"/>
        </w:rPr>
      </w:pPr>
      <w:r w:rsidRPr="001B5E7D">
        <w:rPr>
          <w:iCs/>
          <w:color w:val="000000" w:themeColor="text1"/>
        </w:rPr>
        <w:t xml:space="preserve">Thus, </w:t>
      </w:r>
      <w:r w:rsidR="00860B60" w:rsidRPr="001B5E7D">
        <w:rPr>
          <w:iCs/>
          <w:color w:val="000000" w:themeColor="text1"/>
        </w:rPr>
        <w:t xml:space="preserve">the ALJ erred when he </w:t>
      </w:r>
      <w:r w:rsidR="00FA6674" w:rsidRPr="001B5E7D">
        <w:rPr>
          <w:iCs/>
          <w:color w:val="000000" w:themeColor="text1"/>
        </w:rPr>
        <w:t xml:space="preserve">supplanted the </w:t>
      </w:r>
      <w:r w:rsidR="00FA6674" w:rsidRPr="001B5E7D">
        <w:rPr>
          <w:color w:val="000000" w:themeColor="text1"/>
        </w:rPr>
        <w:t>judgment</w:t>
      </w:r>
      <w:r w:rsidR="00FA6674" w:rsidRPr="001B5E7D">
        <w:rPr>
          <w:iCs/>
          <w:color w:val="000000" w:themeColor="text1"/>
        </w:rPr>
        <w:t xml:space="preserve"> of local authorities regarding the risk that Titus posed to </w:t>
      </w:r>
      <w:r w:rsidR="005928F2" w:rsidRPr="001B5E7D">
        <w:rPr>
          <w:iCs/>
          <w:color w:val="000000" w:themeColor="text1"/>
        </w:rPr>
        <w:t>t</w:t>
      </w:r>
      <w:r w:rsidR="00FA6674" w:rsidRPr="001B5E7D">
        <w:rPr>
          <w:iCs/>
          <w:color w:val="000000" w:themeColor="text1"/>
        </w:rPr>
        <w:t>he community with</w:t>
      </w:r>
      <w:r w:rsidR="00860B60" w:rsidRPr="001B5E7D">
        <w:rPr>
          <w:iCs/>
          <w:color w:val="000000" w:themeColor="text1"/>
        </w:rPr>
        <w:t xml:space="preserve"> </w:t>
      </w:r>
      <w:r w:rsidR="002547F8" w:rsidRPr="001B5E7D">
        <w:rPr>
          <w:iCs/>
          <w:color w:val="000000" w:themeColor="text1"/>
        </w:rPr>
        <w:t xml:space="preserve">his own evaluation of </w:t>
      </w:r>
      <w:r w:rsidR="00FA6674" w:rsidRPr="001B5E7D">
        <w:rPr>
          <w:iCs/>
          <w:color w:val="000000" w:themeColor="text1"/>
        </w:rPr>
        <w:t>that risk</w:t>
      </w:r>
      <w:r w:rsidR="00860B60" w:rsidRPr="001B5E7D">
        <w:rPr>
          <w:iCs/>
          <w:color w:val="000000" w:themeColor="text1"/>
        </w:rPr>
        <w:t>.</w:t>
      </w:r>
      <w:r w:rsidR="00293266" w:rsidRPr="0075321D">
        <w:rPr>
          <w:rStyle w:val="FootnoteReference"/>
          <w:iCs/>
          <w:color w:val="000000" w:themeColor="text1"/>
          <w:sz w:val="22"/>
        </w:rPr>
        <w:footnoteReference w:id="64"/>
      </w:r>
      <w:r w:rsidR="002547F8" w:rsidRPr="001B5E7D">
        <w:rPr>
          <w:iCs/>
          <w:color w:val="000000" w:themeColor="text1"/>
        </w:rPr>
        <w:t xml:space="preserve"> </w:t>
      </w:r>
      <w:r w:rsidR="00860B60" w:rsidRPr="001B5E7D">
        <w:rPr>
          <w:iCs/>
          <w:color w:val="000000" w:themeColor="text1"/>
        </w:rPr>
        <w:t xml:space="preserve"> Instead, </w:t>
      </w:r>
      <w:r w:rsidR="00943969" w:rsidRPr="001B5E7D">
        <w:rPr>
          <w:iCs/>
          <w:color w:val="000000" w:themeColor="text1"/>
        </w:rPr>
        <w:t xml:space="preserve">the ALJ should </w:t>
      </w:r>
      <w:r w:rsidR="00943969" w:rsidRPr="001B5E7D">
        <w:rPr>
          <w:iCs/>
          <w:color w:val="000000" w:themeColor="text1"/>
        </w:rPr>
        <w:lastRenderedPageBreak/>
        <w:t>have</w:t>
      </w:r>
      <w:r w:rsidRPr="001B5E7D">
        <w:rPr>
          <w:iCs/>
          <w:color w:val="000000" w:themeColor="text1"/>
        </w:rPr>
        <w:t xml:space="preserve"> </w:t>
      </w:r>
      <w:r w:rsidR="007C470A" w:rsidRPr="001B5E7D">
        <w:rPr>
          <w:iCs/>
          <w:color w:val="000000" w:themeColor="text1"/>
        </w:rPr>
        <w:t xml:space="preserve">acknowledged </w:t>
      </w:r>
      <w:r w:rsidRPr="001B5E7D">
        <w:rPr>
          <w:iCs/>
          <w:color w:val="000000" w:themeColor="text1"/>
        </w:rPr>
        <w:t xml:space="preserve">that the Seattle Police Department </w:t>
      </w:r>
      <w:r w:rsidR="007C470A" w:rsidRPr="001B5E7D">
        <w:rPr>
          <w:iCs/>
          <w:color w:val="000000" w:themeColor="text1"/>
        </w:rPr>
        <w:t xml:space="preserve">was lawfully exercising its primary responsibility in this area </w:t>
      </w:r>
      <w:r w:rsidRPr="001B5E7D">
        <w:rPr>
          <w:iCs/>
          <w:color w:val="000000" w:themeColor="text1"/>
        </w:rPr>
        <w:t xml:space="preserve">when </w:t>
      </w:r>
      <w:r w:rsidR="00860B60" w:rsidRPr="001B5E7D">
        <w:rPr>
          <w:iCs/>
          <w:color w:val="000000" w:themeColor="text1"/>
        </w:rPr>
        <w:t xml:space="preserve">it </w:t>
      </w:r>
      <w:r w:rsidR="009B2AE6" w:rsidRPr="001B5E7D">
        <w:rPr>
          <w:iCs/>
          <w:color w:val="000000" w:themeColor="text1"/>
        </w:rPr>
        <w:t xml:space="preserve">classified Titus as a </w:t>
      </w:r>
      <w:r w:rsidR="00C56A99" w:rsidRPr="001B5E7D">
        <w:rPr>
          <w:color w:val="000000" w:themeColor="text1"/>
        </w:rPr>
        <w:t>Level 3</w:t>
      </w:r>
      <w:r w:rsidR="009B2AE6" w:rsidRPr="001B5E7D">
        <w:rPr>
          <w:color w:val="000000" w:themeColor="text1"/>
        </w:rPr>
        <w:t xml:space="preserve"> (or high-risk) </w:t>
      </w:r>
      <w:r w:rsidR="009B2AE6" w:rsidRPr="002E190D">
        <w:t>sex</w:t>
      </w:r>
      <w:r w:rsidR="009B2AE6" w:rsidRPr="001B5E7D">
        <w:rPr>
          <w:color w:val="000000" w:themeColor="text1"/>
        </w:rPr>
        <w:t xml:space="preserve"> offender</w:t>
      </w:r>
      <w:r w:rsidR="00C56A99" w:rsidRPr="001B5E7D">
        <w:rPr>
          <w:color w:val="000000" w:themeColor="text1"/>
        </w:rPr>
        <w:t xml:space="preserve"> in 2004</w:t>
      </w:r>
      <w:r w:rsidRPr="001B5E7D">
        <w:rPr>
          <w:bCs/>
          <w:color w:val="000000" w:themeColor="text1"/>
        </w:rPr>
        <w:t>.</w:t>
      </w:r>
      <w:r w:rsidR="0089010C" w:rsidRPr="0075321D">
        <w:rPr>
          <w:rStyle w:val="FootnoteReference"/>
          <w:bCs/>
          <w:color w:val="000000" w:themeColor="text1"/>
          <w:sz w:val="22"/>
        </w:rPr>
        <w:footnoteReference w:id="65"/>
      </w:r>
      <w:r w:rsidRPr="001B5E7D">
        <w:rPr>
          <w:bCs/>
          <w:color w:val="000000" w:themeColor="text1"/>
        </w:rPr>
        <w:t xml:space="preserve">  </w:t>
      </w:r>
      <w:r w:rsidR="005413F3" w:rsidRPr="001B5E7D">
        <w:rPr>
          <w:bCs/>
          <w:color w:val="000000" w:themeColor="text1"/>
        </w:rPr>
        <w:t xml:space="preserve">In short, we </w:t>
      </w:r>
      <w:r w:rsidR="002547F8" w:rsidRPr="001B5E7D">
        <w:rPr>
          <w:bCs/>
          <w:color w:val="000000" w:themeColor="text1"/>
        </w:rPr>
        <w:t xml:space="preserve">agree with EB that “[t]he ALJ should not have second-guessed the discretion and lawful authority of the Seattle Police Department in an area in which they have expertise,” and </w:t>
      </w:r>
      <w:r w:rsidR="009C3292" w:rsidRPr="001B5E7D">
        <w:rPr>
          <w:bCs/>
          <w:color w:val="000000" w:themeColor="text1"/>
        </w:rPr>
        <w:t xml:space="preserve">instead </w:t>
      </w:r>
      <w:r w:rsidR="002547F8" w:rsidRPr="001B5E7D">
        <w:rPr>
          <w:bCs/>
          <w:color w:val="000000" w:themeColor="text1"/>
        </w:rPr>
        <w:t xml:space="preserve">“should have focused on the scale and scope of </w:t>
      </w:r>
      <w:r w:rsidR="00E7677F" w:rsidRPr="001B5E7D">
        <w:rPr>
          <w:bCs/>
          <w:color w:val="000000" w:themeColor="text1"/>
        </w:rPr>
        <w:t>Titus’</w:t>
      </w:r>
      <w:r w:rsidR="002547F8" w:rsidRPr="001B5E7D">
        <w:rPr>
          <w:bCs/>
          <w:color w:val="000000" w:themeColor="text1"/>
        </w:rPr>
        <w:t>s misconduct and Level 3 ‘High Risk’ sex offender status as they relate to his qualifications to hold an amateur radio license.”</w:t>
      </w:r>
      <w:r w:rsidR="002547F8" w:rsidRPr="0075321D">
        <w:rPr>
          <w:rStyle w:val="FootnoteReference"/>
          <w:bCs/>
          <w:color w:val="000000" w:themeColor="text1"/>
          <w:sz w:val="22"/>
        </w:rPr>
        <w:footnoteReference w:id="66"/>
      </w:r>
      <w:r w:rsidR="00530809" w:rsidRPr="001B5E7D">
        <w:rPr>
          <w:bCs/>
          <w:color w:val="000000" w:themeColor="text1"/>
        </w:rPr>
        <w:t xml:space="preserve">  </w:t>
      </w:r>
    </w:p>
    <w:p w:rsidR="00F0169A" w:rsidRDefault="005A35D5" w:rsidP="002E190D">
      <w:pPr>
        <w:pStyle w:val="ParaNum"/>
        <w:rPr>
          <w:bCs/>
          <w:color w:val="000000" w:themeColor="text1"/>
        </w:rPr>
      </w:pPr>
      <w:r w:rsidRPr="0075321D">
        <w:rPr>
          <w:bCs/>
          <w:color w:val="000000" w:themeColor="text1"/>
        </w:rPr>
        <w:t xml:space="preserve"> </w:t>
      </w:r>
      <w:r w:rsidR="00860B60" w:rsidRPr="0075321D">
        <w:rPr>
          <w:bCs/>
          <w:color w:val="000000" w:themeColor="text1"/>
        </w:rPr>
        <w:t xml:space="preserve">We acknowledge that </w:t>
      </w:r>
      <w:r w:rsidR="00653497" w:rsidRPr="0075321D">
        <w:t>Titus</w:t>
      </w:r>
      <w:r w:rsidR="00637ECE" w:rsidRPr="0075321D">
        <w:t xml:space="preserve"> </w:t>
      </w:r>
      <w:r w:rsidR="00860B60" w:rsidRPr="0075321D">
        <w:t xml:space="preserve">also </w:t>
      </w:r>
      <w:r w:rsidR="00653497" w:rsidRPr="0075321D">
        <w:t>introduced evidence</w:t>
      </w:r>
      <w:r w:rsidR="001377CD" w:rsidRPr="0075321D">
        <w:t xml:space="preserve"> that</w:t>
      </w:r>
      <w:r w:rsidR="00653497" w:rsidRPr="0075321D">
        <w:t xml:space="preserve"> the ALJ took into account in finding that Titus had been rehabilitated.  Th</w:t>
      </w:r>
      <w:r w:rsidR="00860B60" w:rsidRPr="0075321D">
        <w:t>at evidence</w:t>
      </w:r>
      <w:r w:rsidR="00653497" w:rsidRPr="0075321D">
        <w:t xml:space="preserve"> included the length of time since </w:t>
      </w:r>
      <w:r w:rsidR="00E7677F" w:rsidRPr="0075321D">
        <w:t>Titus’s</w:t>
      </w:r>
      <w:r w:rsidR="00653497" w:rsidRPr="0075321D">
        <w:t xml:space="preserve"> </w:t>
      </w:r>
      <w:r w:rsidR="00AD3F2E">
        <w:t xml:space="preserve">adult felony </w:t>
      </w:r>
      <w:r w:rsidR="00653497" w:rsidRPr="0075321D">
        <w:t>conviction,</w:t>
      </w:r>
      <w:r w:rsidR="00653497" w:rsidRPr="0075321D">
        <w:rPr>
          <w:rStyle w:val="FootnoteReference"/>
          <w:sz w:val="22"/>
        </w:rPr>
        <w:footnoteReference w:id="67"/>
      </w:r>
      <w:r w:rsidR="00653497" w:rsidRPr="0075321D">
        <w:t xml:space="preserve"> the testimony of Dr. Douglas J. A</w:t>
      </w:r>
      <w:r w:rsidR="00DA033E" w:rsidRPr="0075321D">
        <w:t>l</w:t>
      </w:r>
      <w:r w:rsidR="00653497" w:rsidRPr="0075321D">
        <w:t>lmon, a consulting psychologist,</w:t>
      </w:r>
      <w:r w:rsidR="00653497" w:rsidRPr="0075321D">
        <w:rPr>
          <w:rStyle w:val="FootnoteReference"/>
          <w:sz w:val="22"/>
        </w:rPr>
        <w:footnoteReference w:id="68"/>
      </w:r>
      <w:r w:rsidR="00653497" w:rsidRPr="0075321D">
        <w:t xml:space="preserve"> the testimony of character witnesses,</w:t>
      </w:r>
      <w:r w:rsidR="00653497" w:rsidRPr="0075321D">
        <w:rPr>
          <w:rStyle w:val="FootnoteReference"/>
          <w:sz w:val="22"/>
        </w:rPr>
        <w:footnoteReference w:id="69"/>
      </w:r>
      <w:r w:rsidR="00653497" w:rsidRPr="0075321D">
        <w:t xml:space="preserve"> and </w:t>
      </w:r>
      <w:r w:rsidR="00E7677F" w:rsidRPr="0075321D">
        <w:t>Titus’s</w:t>
      </w:r>
      <w:r w:rsidR="00653497" w:rsidRPr="0075321D">
        <w:t xml:space="preserve"> own expressions of contrition.</w:t>
      </w:r>
      <w:r w:rsidR="00653497" w:rsidRPr="0075321D">
        <w:rPr>
          <w:rStyle w:val="FootnoteReference"/>
          <w:sz w:val="22"/>
        </w:rPr>
        <w:footnoteReference w:id="70"/>
      </w:r>
      <w:r w:rsidR="00653497" w:rsidRPr="0075321D">
        <w:t xml:space="preserve">  </w:t>
      </w:r>
      <w:r w:rsidR="00D133E0" w:rsidRPr="0075321D">
        <w:t>Notwithstanding</w:t>
      </w:r>
      <w:r w:rsidR="00A93A46" w:rsidRPr="0075321D">
        <w:t xml:space="preserve"> the foregoing</w:t>
      </w:r>
      <w:r w:rsidR="00860B60" w:rsidRPr="0075321D">
        <w:t xml:space="preserve">, </w:t>
      </w:r>
      <w:r w:rsidR="00A45BF1" w:rsidRPr="0075321D">
        <w:t xml:space="preserve">authorities </w:t>
      </w:r>
      <w:r w:rsidR="00A93A46" w:rsidRPr="0075321D">
        <w:t xml:space="preserve">in the State of Washington </w:t>
      </w:r>
      <w:r w:rsidR="0047551F" w:rsidRPr="0075321D">
        <w:t xml:space="preserve">continue to </w:t>
      </w:r>
      <w:r w:rsidR="0047551F" w:rsidRPr="002E190D">
        <w:t>believe</w:t>
      </w:r>
      <w:r w:rsidR="0047551F" w:rsidRPr="0075321D">
        <w:t xml:space="preserve"> that Titus </w:t>
      </w:r>
      <w:r w:rsidR="001377CD" w:rsidRPr="0075321D">
        <w:t>presents</w:t>
      </w:r>
      <w:r w:rsidR="00A45BF1" w:rsidRPr="0075321D">
        <w:t xml:space="preserve"> a risk</w:t>
      </w:r>
      <w:r w:rsidR="009B2AE6" w:rsidRPr="0075321D">
        <w:t xml:space="preserve"> to the community.</w:t>
      </w:r>
      <w:r w:rsidR="00B73C78" w:rsidRPr="0075321D">
        <w:rPr>
          <w:rStyle w:val="FootnoteReference"/>
          <w:sz w:val="22"/>
        </w:rPr>
        <w:footnoteReference w:id="71"/>
      </w:r>
      <w:r w:rsidR="00A45BF1" w:rsidRPr="0075321D">
        <w:t xml:space="preserve"> </w:t>
      </w:r>
      <w:r w:rsidR="009B2AE6" w:rsidRPr="0075321D">
        <w:t xml:space="preserve"> </w:t>
      </w:r>
      <w:r w:rsidR="0047551F" w:rsidRPr="0075321D">
        <w:t xml:space="preserve"> </w:t>
      </w:r>
      <w:r w:rsidR="00275590" w:rsidRPr="0075321D">
        <w:lastRenderedPageBreak/>
        <w:t xml:space="preserve">While the passage of time may in some cases </w:t>
      </w:r>
      <w:r w:rsidR="002732A4" w:rsidRPr="0075321D">
        <w:t>diminish</w:t>
      </w:r>
      <w:r w:rsidR="00275590" w:rsidRPr="0075321D">
        <w:t xml:space="preserve"> the significance of a felony conviction, we do not believe that is the case where the offender is currently </w:t>
      </w:r>
      <w:r w:rsidR="00926AA5">
        <w:t xml:space="preserve">designated </w:t>
      </w:r>
      <w:r w:rsidR="00275590" w:rsidRPr="0075321D">
        <w:t xml:space="preserve">as a </w:t>
      </w:r>
      <w:r w:rsidR="00926AA5">
        <w:t xml:space="preserve">high risk </w:t>
      </w:r>
      <w:r w:rsidR="00275590" w:rsidRPr="0075321D">
        <w:t xml:space="preserve">sex offender, signifying that local authorities consider him </w:t>
      </w:r>
      <w:r w:rsidR="004B3FF5">
        <w:t xml:space="preserve">to be </w:t>
      </w:r>
      <w:r w:rsidR="00275590" w:rsidRPr="0075321D">
        <w:t>a</w:t>
      </w:r>
      <w:r w:rsidR="004B3FF5">
        <w:t xml:space="preserve">n ongoing </w:t>
      </w:r>
      <w:r w:rsidR="00275590" w:rsidRPr="0075321D">
        <w:t xml:space="preserve">risk to the community.  </w:t>
      </w:r>
      <w:r w:rsidR="0047551F" w:rsidRPr="0075321D">
        <w:t>W</w:t>
      </w:r>
      <w:r w:rsidR="002F637D" w:rsidRPr="0075321D">
        <w:t xml:space="preserve">ere we </w:t>
      </w:r>
      <w:r w:rsidR="0047551F" w:rsidRPr="0075321D">
        <w:t xml:space="preserve">(like the ALJ) </w:t>
      </w:r>
      <w:r w:rsidR="00D133E0" w:rsidRPr="0075321D">
        <w:t>to find that Titus has been</w:t>
      </w:r>
      <w:r w:rsidR="002F637D" w:rsidRPr="0075321D">
        <w:t xml:space="preserve"> rehabilitated</w:t>
      </w:r>
      <w:r w:rsidR="00D133E0" w:rsidRPr="0075321D">
        <w:t xml:space="preserve">, </w:t>
      </w:r>
      <w:r w:rsidR="002F637D" w:rsidRPr="0075321D">
        <w:t xml:space="preserve">we would effectively </w:t>
      </w:r>
      <w:r w:rsidR="001377CD" w:rsidRPr="0075321D">
        <w:t>contravene</w:t>
      </w:r>
      <w:r w:rsidR="002F637D" w:rsidRPr="0075321D">
        <w:t xml:space="preserve"> the judgment of </w:t>
      </w:r>
      <w:r w:rsidR="0047551F" w:rsidRPr="0075321D">
        <w:t xml:space="preserve">those entities </w:t>
      </w:r>
      <w:r w:rsidR="002F637D" w:rsidRPr="0075321D">
        <w:t xml:space="preserve">and </w:t>
      </w:r>
      <w:r w:rsidR="00275590" w:rsidRPr="0075321D">
        <w:t>undermine</w:t>
      </w:r>
      <w:r w:rsidR="002F637D" w:rsidRPr="0075321D">
        <w:t xml:space="preserve"> their primary authority to evaluate </w:t>
      </w:r>
      <w:r w:rsidR="00E7677F" w:rsidRPr="0075321D">
        <w:t>Titus’s</w:t>
      </w:r>
      <w:r w:rsidR="002F637D" w:rsidRPr="0075321D">
        <w:t xml:space="preserve"> risk to the community.  </w:t>
      </w:r>
      <w:r w:rsidR="00D133E0" w:rsidRPr="0075321D">
        <w:t>We decline to</w:t>
      </w:r>
      <w:r w:rsidR="0047551F" w:rsidRPr="0075321D">
        <w:t xml:space="preserve"> do so in the narrow context of this license revocation proceeding</w:t>
      </w:r>
      <w:r w:rsidR="002F637D" w:rsidRPr="0075321D">
        <w:t xml:space="preserve">. </w:t>
      </w:r>
      <w:r w:rsidR="004C79F1" w:rsidRPr="0075321D">
        <w:t xml:space="preserve"> </w:t>
      </w:r>
      <w:r w:rsidR="001E2E9F" w:rsidRPr="0075321D">
        <w:rPr>
          <w:bCs/>
          <w:color w:val="000000" w:themeColor="text1"/>
        </w:rPr>
        <w:t xml:space="preserve"> </w:t>
      </w:r>
    </w:p>
    <w:p w:rsidR="00C56A99" w:rsidRPr="001B5E7D" w:rsidRDefault="0047551F" w:rsidP="002E190D">
      <w:pPr>
        <w:pStyle w:val="ParaNum"/>
        <w:rPr>
          <w:color w:val="000000" w:themeColor="text1"/>
        </w:rPr>
      </w:pPr>
      <w:r w:rsidRPr="001B5E7D">
        <w:t>W</w:t>
      </w:r>
      <w:r w:rsidR="002F637D" w:rsidRPr="001B5E7D">
        <w:t xml:space="preserve">e </w:t>
      </w:r>
      <w:r w:rsidRPr="001B5E7D">
        <w:t xml:space="preserve">therefore </w:t>
      </w:r>
      <w:r w:rsidR="002F637D" w:rsidRPr="001B5E7D">
        <w:t>find that Titus</w:t>
      </w:r>
      <w:r w:rsidR="009B2AE6" w:rsidRPr="001B5E7D">
        <w:t xml:space="preserve"> </w:t>
      </w:r>
      <w:r w:rsidR="00A45BF1" w:rsidRPr="001B5E7D">
        <w:t xml:space="preserve">has not rebutted </w:t>
      </w:r>
      <w:r w:rsidR="002F637D" w:rsidRPr="001B5E7D">
        <w:t xml:space="preserve">EB’s showing that </w:t>
      </w:r>
      <w:r w:rsidR="002F637D" w:rsidRPr="001B5E7D">
        <w:rPr>
          <w:bCs/>
          <w:color w:val="000000" w:themeColor="text1"/>
        </w:rPr>
        <w:t xml:space="preserve">he committed </w:t>
      </w:r>
      <w:r w:rsidR="00481561" w:rsidRPr="001B5E7D">
        <w:rPr>
          <w:bCs/>
          <w:color w:val="000000" w:themeColor="text1"/>
        </w:rPr>
        <w:t>misconduct</w:t>
      </w:r>
      <w:r w:rsidR="002F637D" w:rsidRPr="001B5E7D">
        <w:rPr>
          <w:bCs/>
          <w:color w:val="000000" w:themeColor="text1"/>
        </w:rPr>
        <w:t xml:space="preserve"> that is disqualifying</w:t>
      </w:r>
      <w:r w:rsidR="00A93A46" w:rsidRPr="001B5E7D">
        <w:rPr>
          <w:bCs/>
          <w:color w:val="000000" w:themeColor="text1"/>
        </w:rPr>
        <w:t>,</w:t>
      </w:r>
      <w:r w:rsidR="00C56A99" w:rsidRPr="001B5E7D">
        <w:rPr>
          <w:bCs/>
          <w:color w:val="000000" w:themeColor="text1"/>
        </w:rPr>
        <w:t xml:space="preserve"> </w:t>
      </w:r>
      <w:r w:rsidRPr="001B5E7D">
        <w:rPr>
          <w:bCs/>
          <w:color w:val="000000" w:themeColor="text1"/>
        </w:rPr>
        <w:t>render</w:t>
      </w:r>
      <w:r w:rsidR="00860B60" w:rsidRPr="001B5E7D">
        <w:rPr>
          <w:bCs/>
          <w:color w:val="000000" w:themeColor="text1"/>
        </w:rPr>
        <w:t>ing</w:t>
      </w:r>
      <w:r w:rsidR="00C56A99" w:rsidRPr="001B5E7D">
        <w:rPr>
          <w:bCs/>
          <w:color w:val="000000" w:themeColor="text1"/>
        </w:rPr>
        <w:t xml:space="preserve"> </w:t>
      </w:r>
      <w:r w:rsidRPr="001B5E7D">
        <w:rPr>
          <w:bCs/>
          <w:color w:val="000000" w:themeColor="text1"/>
        </w:rPr>
        <w:t>him</w:t>
      </w:r>
      <w:r w:rsidR="00C56A99" w:rsidRPr="001B5E7D">
        <w:rPr>
          <w:bCs/>
          <w:color w:val="000000" w:themeColor="text1"/>
        </w:rPr>
        <w:t xml:space="preserve"> unqualified to be a </w:t>
      </w:r>
      <w:r w:rsidR="00A93A46" w:rsidRPr="002E190D">
        <w:t>Commission</w:t>
      </w:r>
      <w:r w:rsidR="00A93A46" w:rsidRPr="001B5E7D">
        <w:rPr>
          <w:bCs/>
          <w:color w:val="000000" w:themeColor="text1"/>
        </w:rPr>
        <w:t xml:space="preserve"> </w:t>
      </w:r>
      <w:r w:rsidR="00C56A99" w:rsidRPr="001B5E7D">
        <w:rPr>
          <w:bCs/>
          <w:color w:val="000000" w:themeColor="text1"/>
        </w:rPr>
        <w:t>licensee</w:t>
      </w:r>
      <w:r w:rsidRPr="001B5E7D">
        <w:rPr>
          <w:bCs/>
          <w:color w:val="000000" w:themeColor="text1"/>
        </w:rPr>
        <w:t xml:space="preserve">.  </w:t>
      </w:r>
      <w:r w:rsidR="00FF27CC" w:rsidRPr="001B5E7D">
        <w:rPr>
          <w:bCs/>
          <w:color w:val="000000" w:themeColor="text1"/>
        </w:rPr>
        <w:t>In focusing on the impact of Titus’s misconduct on his qualifications to hold an amateur radio license, we conclude that we would be remiss in our responsibilities</w:t>
      </w:r>
      <w:r w:rsidR="008365DB" w:rsidRPr="001B5E7D">
        <w:rPr>
          <w:bCs/>
          <w:color w:val="000000" w:themeColor="text1"/>
        </w:rPr>
        <w:t xml:space="preserve"> </w:t>
      </w:r>
      <w:r w:rsidR="00FF27CC" w:rsidRPr="001B5E7D">
        <w:rPr>
          <w:bCs/>
          <w:color w:val="000000" w:themeColor="text1"/>
        </w:rPr>
        <w:t>as a licensing authority if we continue to authorize Titus to hold an amateur radio license that could be used to put him in contact with children.</w:t>
      </w:r>
      <w:r w:rsidR="00FF27CC" w:rsidRPr="0075321D">
        <w:rPr>
          <w:rStyle w:val="FootnoteReference"/>
          <w:bCs/>
          <w:color w:val="000000" w:themeColor="text1"/>
          <w:sz w:val="22"/>
        </w:rPr>
        <w:footnoteReference w:id="72"/>
      </w:r>
      <w:r w:rsidR="00DC4B9A" w:rsidRPr="001B5E7D">
        <w:rPr>
          <w:bCs/>
          <w:color w:val="000000" w:themeColor="text1"/>
        </w:rPr>
        <w:t xml:space="preserve">  </w:t>
      </w:r>
      <w:r w:rsidRPr="001B5E7D">
        <w:rPr>
          <w:bCs/>
          <w:color w:val="000000" w:themeColor="text1"/>
        </w:rPr>
        <w:t>Accordingly,</w:t>
      </w:r>
      <w:r w:rsidR="00C56A99" w:rsidRPr="001B5E7D">
        <w:rPr>
          <w:bCs/>
          <w:color w:val="000000" w:themeColor="text1"/>
        </w:rPr>
        <w:t xml:space="preserve"> </w:t>
      </w:r>
      <w:r w:rsidR="006D110E" w:rsidRPr="001B5E7D">
        <w:rPr>
          <w:bCs/>
          <w:color w:val="000000" w:themeColor="text1"/>
        </w:rPr>
        <w:t>we find that</w:t>
      </w:r>
      <w:r w:rsidR="00E706A0" w:rsidRPr="001B5E7D">
        <w:rPr>
          <w:bCs/>
          <w:color w:val="000000" w:themeColor="text1"/>
        </w:rPr>
        <w:t xml:space="preserve">, by a preponderance of the evidence, </w:t>
      </w:r>
      <w:r w:rsidR="006D110E" w:rsidRPr="001B5E7D">
        <w:rPr>
          <w:bCs/>
          <w:color w:val="000000" w:themeColor="text1"/>
        </w:rPr>
        <w:t>Titus i</w:t>
      </w:r>
      <w:r w:rsidR="00E706A0" w:rsidRPr="001B5E7D">
        <w:rPr>
          <w:bCs/>
          <w:color w:val="000000" w:themeColor="text1"/>
        </w:rPr>
        <w:t>s</w:t>
      </w:r>
      <w:r w:rsidR="006D110E" w:rsidRPr="001B5E7D">
        <w:rPr>
          <w:bCs/>
          <w:color w:val="000000" w:themeColor="text1"/>
        </w:rPr>
        <w:t xml:space="preserve"> unqualified, and </w:t>
      </w:r>
      <w:r w:rsidRPr="001B5E7D">
        <w:rPr>
          <w:bCs/>
          <w:color w:val="000000" w:themeColor="text1"/>
        </w:rPr>
        <w:t>we</w:t>
      </w:r>
      <w:r w:rsidR="00C56A99" w:rsidRPr="001B5E7D">
        <w:rPr>
          <w:bCs/>
          <w:color w:val="000000" w:themeColor="text1"/>
        </w:rPr>
        <w:t xml:space="preserve"> revoke </w:t>
      </w:r>
      <w:r w:rsidR="006D110E" w:rsidRPr="001B5E7D">
        <w:rPr>
          <w:bCs/>
          <w:color w:val="000000" w:themeColor="text1"/>
        </w:rPr>
        <w:t xml:space="preserve">Titus’s </w:t>
      </w:r>
      <w:r w:rsidR="00C56A99" w:rsidRPr="001B5E7D">
        <w:rPr>
          <w:bCs/>
          <w:color w:val="000000" w:themeColor="text1"/>
        </w:rPr>
        <w:t>license</w:t>
      </w:r>
      <w:r w:rsidR="00653497" w:rsidRPr="001B5E7D">
        <w:rPr>
          <w:bCs/>
          <w:color w:val="000000" w:themeColor="text1"/>
        </w:rPr>
        <w:t xml:space="preserve"> </w:t>
      </w:r>
      <w:r w:rsidR="00653497" w:rsidRPr="001B5E7D">
        <w:t>for station KB7ILD.</w:t>
      </w:r>
      <w:r w:rsidR="001F7A11" w:rsidRPr="001B5E7D">
        <w:t xml:space="preserve">  In light of this conclusion, it is not necessary to consider EB’s other exceptions</w:t>
      </w:r>
      <w:r w:rsidR="00A93A46" w:rsidRPr="001B5E7D">
        <w:t xml:space="preserve"> to the ALJ’s Initial Decision</w:t>
      </w:r>
      <w:r w:rsidR="001F7A11" w:rsidRPr="001B5E7D">
        <w:t xml:space="preserve">.  </w:t>
      </w:r>
      <w:r w:rsidR="00C56A99" w:rsidRPr="001B5E7D">
        <w:rPr>
          <w:bCs/>
          <w:color w:val="000000" w:themeColor="text1"/>
        </w:rPr>
        <w:t xml:space="preserve">  </w:t>
      </w:r>
      <w:r w:rsidR="00C56A99" w:rsidRPr="001B5E7D">
        <w:rPr>
          <w:color w:val="000000" w:themeColor="text1"/>
        </w:rPr>
        <w:t> </w:t>
      </w:r>
    </w:p>
    <w:p w:rsidR="00F0169A" w:rsidRDefault="00E167BA" w:rsidP="00B53D22">
      <w:pPr>
        <w:pStyle w:val="Heading1"/>
      </w:pPr>
      <w:r w:rsidRPr="002E190D">
        <w:t>ORDERING</w:t>
      </w:r>
      <w:r w:rsidRPr="0075321D">
        <w:t xml:space="preserve"> CLAUSES</w:t>
      </w:r>
    </w:p>
    <w:p w:rsidR="00F0169A" w:rsidRDefault="00D95EDF" w:rsidP="002E190D">
      <w:pPr>
        <w:pStyle w:val="ParaNum"/>
      </w:pPr>
      <w:r w:rsidRPr="0075321D">
        <w:t xml:space="preserve">ACCORDINGLY, IT IS ORDERED That </w:t>
      </w:r>
      <w:r w:rsidR="004E11B4" w:rsidRPr="0075321D">
        <w:t>the Motion to Accept Reply to Opposit</w:t>
      </w:r>
      <w:r w:rsidR="00993A8E" w:rsidRPr="0075321D">
        <w:t>i</w:t>
      </w:r>
      <w:r w:rsidR="004E11B4" w:rsidRPr="0075321D">
        <w:t xml:space="preserve">on to Motion to Enlarge the Time to </w:t>
      </w:r>
      <w:r w:rsidR="00FF6647" w:rsidRPr="0075321D">
        <w:t>F</w:t>
      </w:r>
      <w:r w:rsidR="004E11B4" w:rsidRPr="0075321D">
        <w:t xml:space="preserve">ile Reply to Exceptions to Initial Decision, filed May 11, 2010, by David L. Titus IS DENIED; </w:t>
      </w:r>
      <w:r w:rsidR="00482238" w:rsidRPr="0075321D">
        <w:t xml:space="preserve">the Motion to Enlarge the Time </w:t>
      </w:r>
      <w:r w:rsidR="00482238" w:rsidRPr="002E190D">
        <w:t>to</w:t>
      </w:r>
      <w:r w:rsidR="00482238" w:rsidRPr="0075321D">
        <w:t xml:space="preserve"> File Reply to Exceptions to Initial Decision, filed April 26, 2010</w:t>
      </w:r>
      <w:r w:rsidR="00770008" w:rsidRPr="0075321D">
        <w:t xml:space="preserve">, by David L. Titus, IS </w:t>
      </w:r>
      <w:r w:rsidR="008F6257" w:rsidRPr="0075321D">
        <w:t>DENIED</w:t>
      </w:r>
      <w:r w:rsidR="004E11B4" w:rsidRPr="0075321D">
        <w:t>;</w:t>
      </w:r>
      <w:r w:rsidR="00022315" w:rsidRPr="0075321D">
        <w:t xml:space="preserve"> and the Reply to Exceptions to Initial Decision, filed April 26, 2010, by David L. Titus</w:t>
      </w:r>
      <w:r w:rsidR="00FB720F" w:rsidRPr="0075321D">
        <w:t>,</w:t>
      </w:r>
      <w:r w:rsidR="00022315" w:rsidRPr="0075321D">
        <w:t xml:space="preserve"> IS STRICKEN</w:t>
      </w:r>
      <w:r w:rsidR="000B2345" w:rsidRPr="0075321D">
        <w:t xml:space="preserve">.  </w:t>
      </w:r>
    </w:p>
    <w:p w:rsidR="00B53D22" w:rsidRDefault="00E167BA" w:rsidP="002E190D">
      <w:pPr>
        <w:pStyle w:val="ParaNum"/>
      </w:pPr>
      <w:r w:rsidRPr="0075321D">
        <w:t xml:space="preserve">IT IS FURTHER ORDERED, That </w:t>
      </w:r>
      <w:r w:rsidR="000A665C" w:rsidRPr="0075321D">
        <w:t xml:space="preserve">the </w:t>
      </w:r>
      <w:r w:rsidR="0065764E" w:rsidRPr="002E190D">
        <w:t>Enforc</w:t>
      </w:r>
      <w:r w:rsidR="00F95742" w:rsidRPr="002E190D">
        <w:t>ement</w:t>
      </w:r>
      <w:r w:rsidR="00F95742" w:rsidRPr="0075321D">
        <w:t xml:space="preserve"> Bureau’s Exceptions to </w:t>
      </w:r>
      <w:r w:rsidR="002A2127" w:rsidRPr="0075321D">
        <w:t xml:space="preserve">the </w:t>
      </w:r>
      <w:r w:rsidR="00F95742" w:rsidRPr="0075321D">
        <w:t>Initial</w:t>
      </w:r>
      <w:r w:rsidR="0065764E" w:rsidRPr="0075321D">
        <w:t xml:space="preserve"> Decision, filed April 8, 2010, </w:t>
      </w:r>
      <w:r w:rsidRPr="0075321D">
        <w:t xml:space="preserve">ARE </w:t>
      </w:r>
      <w:r w:rsidR="00F86135" w:rsidRPr="0075321D">
        <w:t>GRANTED</w:t>
      </w:r>
      <w:r w:rsidR="00FF6647" w:rsidRPr="0075321D">
        <w:t>;</w:t>
      </w:r>
      <w:r w:rsidR="00F86135" w:rsidRPr="0075321D">
        <w:t xml:space="preserve"> </w:t>
      </w:r>
      <w:r w:rsidRPr="0075321D">
        <w:t xml:space="preserve"> </w:t>
      </w:r>
      <w:r w:rsidR="00403B0C" w:rsidRPr="0075321D">
        <w:t>the</w:t>
      </w:r>
      <w:r w:rsidR="00F839E8" w:rsidRPr="0075321D">
        <w:t xml:space="preserve"> </w:t>
      </w:r>
      <w:r w:rsidR="00D27176" w:rsidRPr="0075321D">
        <w:t xml:space="preserve">Initial Decision of Chief Administrative Law Judge </w:t>
      </w:r>
    </w:p>
    <w:p w:rsidR="00B53D22" w:rsidRDefault="00B53D22">
      <w:r>
        <w:br w:type="page"/>
      </w:r>
    </w:p>
    <w:p w:rsidR="00F0169A" w:rsidRDefault="00D27176" w:rsidP="00B53D22">
      <w:r w:rsidRPr="0075321D">
        <w:lastRenderedPageBreak/>
        <w:t xml:space="preserve">Richard L. Sippel, FCC 10D-01, released March 9, 2010, 25 FCC Rcd 2390, </w:t>
      </w:r>
      <w:r w:rsidR="00E167BA" w:rsidRPr="0075321D">
        <w:t xml:space="preserve">IS </w:t>
      </w:r>
      <w:r w:rsidR="00F86135" w:rsidRPr="0075321D">
        <w:t>REVERSED</w:t>
      </w:r>
      <w:r w:rsidR="00FF6647" w:rsidRPr="0075321D">
        <w:t>;</w:t>
      </w:r>
      <w:r w:rsidR="003570ED" w:rsidRPr="0075321D">
        <w:t xml:space="preserve"> and David </w:t>
      </w:r>
      <w:r w:rsidR="00E7677F" w:rsidRPr="0075321D">
        <w:t>Titus’s</w:t>
      </w:r>
      <w:r w:rsidR="003570ED" w:rsidRPr="0075321D">
        <w:t xml:space="preserve"> license to operate </w:t>
      </w:r>
      <w:r w:rsidR="006C0D88" w:rsidRPr="0075321D">
        <w:t>Amateur Radio Station KB7ILD IS REVOKED</w:t>
      </w:r>
      <w:r w:rsidR="003570ED" w:rsidRPr="0075321D">
        <w:t xml:space="preserve"> </w:t>
      </w:r>
      <w:r w:rsidR="00F839E8" w:rsidRPr="0075321D">
        <w:t xml:space="preserve">. </w:t>
      </w:r>
    </w:p>
    <w:p w:rsidR="00B53D22" w:rsidRDefault="00B53D22" w:rsidP="00B53D22"/>
    <w:p w:rsidR="00F0169A" w:rsidRDefault="006F2C76" w:rsidP="002E190D">
      <w:pPr>
        <w:pStyle w:val="ParaNum"/>
      </w:pPr>
      <w:r w:rsidRPr="0075321D">
        <w:t xml:space="preserve">IT IS FURTHER ORDERED, </w:t>
      </w:r>
      <w:r w:rsidR="00CB2968" w:rsidRPr="0075321D">
        <w:t>That this proceeding IS TERMINATED.</w:t>
      </w:r>
      <w:r w:rsidR="00FE446D" w:rsidRPr="0075321D">
        <w:tab/>
      </w:r>
      <w:r w:rsidR="00F839E8" w:rsidRPr="0075321D">
        <w:t xml:space="preserve"> </w:t>
      </w:r>
    </w:p>
    <w:p w:rsidR="00B53D22" w:rsidRDefault="00B53D22" w:rsidP="00B53D22"/>
    <w:p w:rsidR="005D0BCD" w:rsidRPr="0075321D" w:rsidRDefault="00D27176" w:rsidP="001A5EB6">
      <w:r w:rsidRPr="0075321D">
        <w:tab/>
      </w:r>
      <w:r w:rsidR="005D0BCD" w:rsidRPr="0075321D">
        <w:tab/>
      </w:r>
      <w:r w:rsidR="005D0BCD" w:rsidRPr="0075321D">
        <w:tab/>
      </w:r>
      <w:r w:rsidR="005D0BCD" w:rsidRPr="0075321D">
        <w:tab/>
      </w:r>
      <w:r w:rsidR="005D0BCD" w:rsidRPr="0075321D">
        <w:tab/>
      </w:r>
      <w:r w:rsidR="005D0BCD" w:rsidRPr="0075321D">
        <w:tab/>
        <w:t>FEDERAL COMMUNICATIONS COMMISSION</w:t>
      </w:r>
    </w:p>
    <w:p w:rsidR="005D0BCD" w:rsidRPr="0075321D" w:rsidRDefault="005D0BCD" w:rsidP="001A5EB6"/>
    <w:p w:rsidR="005D0BCD" w:rsidRPr="0075321D" w:rsidRDefault="005D0BCD" w:rsidP="001A5EB6"/>
    <w:p w:rsidR="005D0BCD" w:rsidRPr="0075321D" w:rsidRDefault="005D0BCD" w:rsidP="001A5EB6"/>
    <w:p w:rsidR="005D0BCD" w:rsidRPr="0075321D" w:rsidRDefault="005D0BCD" w:rsidP="001A5EB6">
      <w:r w:rsidRPr="0075321D">
        <w:tab/>
      </w:r>
      <w:r w:rsidRPr="0075321D">
        <w:tab/>
      </w:r>
      <w:r w:rsidRPr="0075321D">
        <w:tab/>
      </w:r>
      <w:r w:rsidRPr="0075321D">
        <w:tab/>
      </w:r>
      <w:r w:rsidRPr="0075321D">
        <w:tab/>
      </w:r>
      <w:r w:rsidRPr="0075321D">
        <w:tab/>
        <w:t>Marlene H. Dortch</w:t>
      </w:r>
    </w:p>
    <w:p w:rsidR="005D0BCD" w:rsidRDefault="005D0BCD" w:rsidP="001A5EB6">
      <w:r w:rsidRPr="0075321D">
        <w:tab/>
      </w:r>
      <w:r w:rsidRPr="0075321D">
        <w:tab/>
      </w:r>
      <w:r w:rsidRPr="0075321D">
        <w:tab/>
      </w:r>
      <w:r w:rsidRPr="0075321D">
        <w:tab/>
      </w:r>
      <w:r w:rsidRPr="0075321D">
        <w:tab/>
      </w:r>
      <w:r w:rsidRPr="0075321D">
        <w:tab/>
        <w:t>Secretary</w:t>
      </w:r>
    </w:p>
    <w:p w:rsidR="0058664D" w:rsidRPr="005A35D5" w:rsidRDefault="0058664D" w:rsidP="004B3FF5"/>
    <w:sectPr w:rsidR="0058664D" w:rsidRPr="005A35D5" w:rsidSect="00B53D2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F70" w:rsidRDefault="00196F70">
      <w:r>
        <w:separator/>
      </w:r>
    </w:p>
    <w:p w:rsidR="00196F70" w:rsidRDefault="00196F70"/>
  </w:endnote>
  <w:endnote w:type="continuationSeparator" w:id="0">
    <w:p w:rsidR="00196F70" w:rsidRDefault="00196F70">
      <w:r>
        <w:continuationSeparator/>
      </w:r>
    </w:p>
    <w:p w:rsidR="00196F70" w:rsidRDefault="00196F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B5A" w:rsidRDefault="00CD1B5A" w:rsidP="00EA38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1B5A" w:rsidRDefault="00CD1B5A">
    <w:pPr>
      <w:pStyle w:val="Footer"/>
    </w:pPr>
  </w:p>
  <w:p w:rsidR="00CD1B5A" w:rsidRDefault="00CD1B5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B5A" w:rsidRPr="007F6247" w:rsidRDefault="00CD1B5A" w:rsidP="00EA38BB">
    <w:pPr>
      <w:pStyle w:val="Footer"/>
      <w:framePr w:wrap="around" w:vAnchor="text" w:hAnchor="margin" w:xAlign="center" w:y="1"/>
      <w:rPr>
        <w:rStyle w:val="PageNumber"/>
      </w:rPr>
    </w:pPr>
    <w:r w:rsidRPr="007F6247">
      <w:rPr>
        <w:rStyle w:val="PageNumber"/>
      </w:rPr>
      <w:fldChar w:fldCharType="begin"/>
    </w:r>
    <w:r w:rsidRPr="007F6247">
      <w:rPr>
        <w:rStyle w:val="PageNumber"/>
      </w:rPr>
      <w:instrText xml:space="preserve">PAGE  </w:instrText>
    </w:r>
    <w:r w:rsidRPr="007F6247">
      <w:rPr>
        <w:rStyle w:val="PageNumber"/>
      </w:rPr>
      <w:fldChar w:fldCharType="separate"/>
    </w:r>
    <w:r w:rsidR="00BD5D57">
      <w:rPr>
        <w:rStyle w:val="PageNumber"/>
        <w:noProof/>
      </w:rPr>
      <w:t>13</w:t>
    </w:r>
    <w:r w:rsidRPr="007F6247">
      <w:rPr>
        <w:rStyle w:val="PageNumber"/>
      </w:rPr>
      <w:fldChar w:fldCharType="end"/>
    </w:r>
  </w:p>
  <w:p w:rsidR="00CD1B5A" w:rsidRDefault="00CD1B5A" w:rsidP="001843A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1B7" w:rsidRDefault="00AC61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F70" w:rsidRPr="00B44F29" w:rsidRDefault="00196F70">
      <w:pPr>
        <w:rPr>
          <w:sz w:val="18"/>
        </w:rPr>
      </w:pPr>
      <w:r w:rsidRPr="00B44F29">
        <w:rPr>
          <w:sz w:val="18"/>
        </w:rPr>
        <w:separator/>
      </w:r>
    </w:p>
  </w:footnote>
  <w:footnote w:type="continuationSeparator" w:id="0">
    <w:p w:rsidR="00196F70" w:rsidRPr="009557F4" w:rsidRDefault="00196F70" w:rsidP="009557F4">
      <w:pPr>
        <w:spacing w:before="120"/>
        <w:rPr>
          <w:sz w:val="20"/>
        </w:rPr>
      </w:pPr>
      <w:r w:rsidRPr="009557F4">
        <w:rPr>
          <w:sz w:val="20"/>
        </w:rPr>
        <w:t xml:space="preserve">(Continued from previous page)  </w:t>
      </w:r>
      <w:r w:rsidRPr="009557F4">
        <w:rPr>
          <w:sz w:val="20"/>
        </w:rPr>
        <w:separator/>
      </w:r>
    </w:p>
  </w:footnote>
  <w:footnote w:type="continuationNotice" w:id="1">
    <w:p w:rsidR="00196F70" w:rsidRPr="00487693" w:rsidRDefault="00196F70" w:rsidP="00487693">
      <w:pPr>
        <w:jc w:val="right"/>
        <w:rPr>
          <w:sz w:val="20"/>
        </w:rPr>
      </w:pPr>
      <w:r w:rsidRPr="00487693">
        <w:rPr>
          <w:sz w:val="20"/>
        </w:rPr>
        <w:t>(continued. . . )</w:t>
      </w:r>
    </w:p>
  </w:footnote>
  <w:footnote w:id="2">
    <w:p w:rsidR="00CD1B5A" w:rsidRPr="00B246DD" w:rsidRDefault="00CD1B5A" w:rsidP="00335593">
      <w:pPr>
        <w:pStyle w:val="FootnoteText"/>
        <w:widowControl w:val="0"/>
      </w:pPr>
      <w:r>
        <w:rPr>
          <w:rStyle w:val="FootnoteReference"/>
        </w:rPr>
        <w:footnoteRef/>
      </w:r>
      <w:r>
        <w:t xml:space="preserve"> </w:t>
      </w:r>
      <w:r>
        <w:rPr>
          <w:i/>
        </w:rPr>
        <w:t>See David Titus</w:t>
      </w:r>
      <w:r w:rsidRPr="00883E39">
        <w:t>,</w:t>
      </w:r>
      <w:r>
        <w:rPr>
          <w:i/>
        </w:rPr>
        <w:t xml:space="preserve"> </w:t>
      </w:r>
      <w:r>
        <w:t>25 FCC Rcd 2390 (ALJ 2010) (Initial Decision).</w:t>
      </w:r>
    </w:p>
  </w:footnote>
  <w:footnote w:id="3">
    <w:p w:rsidR="00CD1B5A" w:rsidRPr="007C0349" w:rsidRDefault="00CD1B5A" w:rsidP="00335593">
      <w:pPr>
        <w:pStyle w:val="FootnoteText"/>
        <w:widowControl w:val="0"/>
      </w:pPr>
      <w:r>
        <w:rPr>
          <w:rStyle w:val="FootnoteReference"/>
        </w:rPr>
        <w:footnoteRef/>
      </w:r>
      <w:r>
        <w:t xml:space="preserve"> </w:t>
      </w:r>
      <w:r>
        <w:rPr>
          <w:i/>
        </w:rPr>
        <w:t>See David L. Titus</w:t>
      </w:r>
      <w:r w:rsidRPr="00883E39">
        <w:t>,</w:t>
      </w:r>
      <w:r>
        <w:rPr>
          <w:i/>
        </w:rPr>
        <w:t xml:space="preserve"> </w:t>
      </w:r>
      <w:r>
        <w:t>22 FCC Rcd 1638, 1638 ¶ 2 (EB 2007) (Order to Show Cause).</w:t>
      </w:r>
    </w:p>
  </w:footnote>
  <w:footnote w:id="4">
    <w:p w:rsidR="00CD1B5A" w:rsidRPr="00287E13" w:rsidRDefault="00CD1B5A" w:rsidP="00335593">
      <w:pPr>
        <w:pStyle w:val="FootnoteText"/>
        <w:widowControl w:val="0"/>
        <w:tabs>
          <w:tab w:val="left" w:pos="2910"/>
        </w:tabs>
      </w:pPr>
      <w:r>
        <w:rPr>
          <w:rStyle w:val="FootnoteReference"/>
        </w:rPr>
        <w:footnoteRef/>
      </w:r>
      <w:r>
        <w:t xml:space="preserve"> </w:t>
      </w:r>
      <w:r>
        <w:rPr>
          <w:i/>
        </w:rPr>
        <w:t xml:space="preserve">See id. </w:t>
      </w:r>
      <w:r>
        <w:t xml:space="preserve">at 1640 ¶ 6. </w:t>
      </w:r>
      <w:r>
        <w:rPr>
          <w:szCs w:val="22"/>
        </w:rPr>
        <w:t>Indeed, the parties agree that Titus had several prior juvenile adjudications for sex crimes.</w:t>
      </w:r>
      <w:r>
        <w:t xml:space="preserve"> </w:t>
      </w:r>
      <w:r>
        <w:rPr>
          <w:i/>
          <w:iCs/>
        </w:rPr>
        <w:t>S</w:t>
      </w:r>
      <w:r>
        <w:rPr>
          <w:i/>
        </w:rPr>
        <w:t xml:space="preserve">ee </w:t>
      </w:r>
      <w:r>
        <w:t>Initial Decision, 25 FCC Rcd at 2392 ¶ 5 (describing Titus’s offenses).</w:t>
      </w:r>
    </w:p>
  </w:footnote>
  <w:footnote w:id="5">
    <w:p w:rsidR="00CD1B5A" w:rsidRPr="001E4D90" w:rsidRDefault="00CD1B5A" w:rsidP="00335593">
      <w:pPr>
        <w:pStyle w:val="FootnoteText"/>
        <w:widowControl w:val="0"/>
      </w:pPr>
      <w:r>
        <w:rPr>
          <w:rStyle w:val="FootnoteReference"/>
        </w:rPr>
        <w:footnoteRef/>
      </w:r>
      <w:r>
        <w:t xml:space="preserve"> </w:t>
      </w:r>
      <w:r>
        <w:rPr>
          <w:i/>
        </w:rPr>
        <w:t xml:space="preserve">See </w:t>
      </w:r>
      <w:r>
        <w:t>Order to Show Cause</w:t>
      </w:r>
      <w:r>
        <w:rPr>
          <w:i/>
        </w:rPr>
        <w:t xml:space="preserve">, </w:t>
      </w:r>
      <w:r>
        <w:t xml:space="preserve">22 FCC Rcd at 1640 ¶ 6.  </w:t>
      </w:r>
    </w:p>
  </w:footnote>
  <w:footnote w:id="6">
    <w:p w:rsidR="00CD1B5A" w:rsidRPr="009F6E1B" w:rsidRDefault="00CD1B5A" w:rsidP="00335593">
      <w:pPr>
        <w:pStyle w:val="FootnoteText"/>
        <w:widowControl w:val="0"/>
        <w:rPr>
          <w:i/>
        </w:rPr>
      </w:pPr>
      <w:r>
        <w:rPr>
          <w:rStyle w:val="FootnoteReference"/>
        </w:rPr>
        <w:footnoteRef/>
      </w:r>
      <w:r>
        <w:t xml:space="preserve"> </w:t>
      </w:r>
      <w:r>
        <w:rPr>
          <w:i/>
        </w:rPr>
        <w:t xml:space="preserve">See id. </w:t>
      </w:r>
      <w:r>
        <w:t>at 1640 ¶ 9.</w:t>
      </w:r>
    </w:p>
  </w:footnote>
  <w:footnote w:id="7">
    <w:p w:rsidR="00CD1B5A" w:rsidRPr="00E52D8C" w:rsidRDefault="00CD1B5A" w:rsidP="00335593">
      <w:pPr>
        <w:pStyle w:val="FootnoteText"/>
        <w:widowControl w:val="0"/>
      </w:pPr>
      <w:r>
        <w:rPr>
          <w:rStyle w:val="FootnoteReference"/>
        </w:rPr>
        <w:footnoteRef/>
      </w:r>
      <w:r>
        <w:t xml:space="preserve"> </w:t>
      </w:r>
      <w:r>
        <w:rPr>
          <w:i/>
        </w:rPr>
        <w:t>See</w:t>
      </w:r>
      <w:r>
        <w:t xml:space="preserve"> Initial Decision, 25 FCC Rcd at 2402 ¶ 11.</w:t>
      </w:r>
    </w:p>
  </w:footnote>
  <w:footnote w:id="8">
    <w:p w:rsidR="00CD1B5A" w:rsidRDefault="00CD1B5A" w:rsidP="00335593">
      <w:pPr>
        <w:pStyle w:val="FootnoteText"/>
        <w:widowControl w:val="0"/>
      </w:pPr>
      <w:r>
        <w:rPr>
          <w:rStyle w:val="FootnoteReference"/>
        </w:rPr>
        <w:footnoteRef/>
      </w:r>
      <w:r>
        <w:t xml:space="preserve"> </w:t>
      </w:r>
      <w:r>
        <w:rPr>
          <w:i/>
        </w:rPr>
        <w:t xml:space="preserve">See id. </w:t>
      </w:r>
      <w:r>
        <w:t>at 2392 ¶ 5.</w:t>
      </w:r>
    </w:p>
  </w:footnote>
  <w:footnote w:id="9">
    <w:p w:rsidR="00CD1B5A" w:rsidRPr="00041FD2" w:rsidRDefault="00CD1B5A" w:rsidP="00335593">
      <w:pPr>
        <w:pStyle w:val="FootnoteText"/>
        <w:widowControl w:val="0"/>
      </w:pPr>
      <w:r>
        <w:rPr>
          <w:rStyle w:val="FootnoteReference"/>
        </w:rPr>
        <w:footnoteRef/>
      </w:r>
      <w:r>
        <w:t xml:space="preserve"> </w:t>
      </w:r>
      <w:r>
        <w:rPr>
          <w:i/>
        </w:rPr>
        <w:t>See id</w:t>
      </w:r>
      <w:r>
        <w:t>.</w:t>
      </w:r>
    </w:p>
  </w:footnote>
  <w:footnote w:id="10">
    <w:p w:rsidR="00CD1B5A" w:rsidRPr="009B6725" w:rsidRDefault="00CD1B5A" w:rsidP="00335593">
      <w:pPr>
        <w:pStyle w:val="FootnoteText"/>
        <w:widowControl w:val="0"/>
      </w:pPr>
      <w:r>
        <w:rPr>
          <w:rStyle w:val="FootnoteReference"/>
        </w:rPr>
        <w:footnoteRef/>
      </w:r>
      <w:r>
        <w:t xml:space="preserve"> </w:t>
      </w:r>
      <w:r>
        <w:rPr>
          <w:i/>
        </w:rPr>
        <w:t xml:space="preserve">See id. </w:t>
      </w:r>
      <w:r>
        <w:t xml:space="preserve">at 2397-98 ¶ 22. The ALJ also acknowledged that the two adjudicated felony child molestations Titus committed as a juvenile “involved egregious misconduct.”  </w:t>
      </w:r>
      <w:r>
        <w:rPr>
          <w:i/>
        </w:rPr>
        <w:t xml:space="preserve">Id. </w:t>
      </w:r>
      <w:r>
        <w:t>at 2397 ¶ 21.</w:t>
      </w:r>
    </w:p>
  </w:footnote>
  <w:footnote w:id="11">
    <w:p w:rsidR="00CD1B5A" w:rsidRPr="00A85496" w:rsidRDefault="00CD1B5A" w:rsidP="00335593">
      <w:pPr>
        <w:pStyle w:val="FootnoteText"/>
        <w:widowControl w:val="0"/>
      </w:pPr>
      <w:r>
        <w:rPr>
          <w:rStyle w:val="FootnoteReference"/>
        </w:rPr>
        <w:footnoteRef/>
      </w:r>
      <w:r>
        <w:t xml:space="preserve"> </w:t>
      </w:r>
      <w:r>
        <w:rPr>
          <w:i/>
        </w:rPr>
        <w:t>See id.</w:t>
      </w:r>
      <w:r>
        <w:t>at 2397 ¶ 21.</w:t>
      </w:r>
    </w:p>
  </w:footnote>
  <w:footnote w:id="12">
    <w:p w:rsidR="00CD1B5A" w:rsidRPr="00041FD2" w:rsidRDefault="00CD1B5A" w:rsidP="00335593">
      <w:pPr>
        <w:pStyle w:val="FootnoteText"/>
        <w:widowControl w:val="0"/>
      </w:pPr>
      <w:r>
        <w:rPr>
          <w:rStyle w:val="FootnoteReference"/>
        </w:rPr>
        <w:footnoteRef/>
      </w:r>
      <w:r>
        <w:t xml:space="preserve"> </w:t>
      </w:r>
      <w:r>
        <w:rPr>
          <w:i/>
        </w:rPr>
        <w:t xml:space="preserve">See id. </w:t>
      </w:r>
      <w:r>
        <w:t xml:space="preserve">at 2398-99 ¶¶ 23-25.  </w:t>
      </w:r>
    </w:p>
  </w:footnote>
  <w:footnote w:id="13">
    <w:p w:rsidR="00CD1B5A" w:rsidRPr="00C045C8" w:rsidRDefault="00CD1B5A" w:rsidP="00335593">
      <w:pPr>
        <w:pStyle w:val="FootnoteText"/>
        <w:widowControl w:val="0"/>
      </w:pPr>
      <w:r>
        <w:rPr>
          <w:rStyle w:val="FootnoteReference"/>
        </w:rPr>
        <w:footnoteRef/>
      </w:r>
      <w:r>
        <w:t xml:space="preserve"> </w:t>
      </w:r>
      <w:r>
        <w:rPr>
          <w:i/>
        </w:rPr>
        <w:t xml:space="preserve">See id. </w:t>
      </w:r>
      <w:r>
        <w:t>at 2395-96 ¶¶ 13-15, 2399-2400 ¶¶ 25, 28.</w:t>
      </w:r>
    </w:p>
  </w:footnote>
  <w:footnote w:id="14">
    <w:p w:rsidR="00CD1B5A" w:rsidRPr="00882DCB" w:rsidRDefault="00CD1B5A" w:rsidP="00335593">
      <w:pPr>
        <w:pStyle w:val="FootnoteText"/>
        <w:widowControl w:val="0"/>
      </w:pPr>
      <w:r>
        <w:rPr>
          <w:rStyle w:val="FootnoteReference"/>
        </w:rPr>
        <w:footnoteRef/>
      </w:r>
      <w:r>
        <w:t xml:space="preserve"> </w:t>
      </w:r>
      <w:r>
        <w:rPr>
          <w:i/>
        </w:rPr>
        <w:t xml:space="preserve">See id. </w:t>
      </w:r>
      <w:r>
        <w:t>at 2401-02 ¶ 33.</w:t>
      </w:r>
    </w:p>
  </w:footnote>
  <w:footnote w:id="15">
    <w:p w:rsidR="00CD1B5A" w:rsidRDefault="00CD1B5A" w:rsidP="00CD1B5A">
      <w:pPr>
        <w:pStyle w:val="FootnoteText"/>
        <w:widowControl w:val="0"/>
      </w:pPr>
      <w:r>
        <w:rPr>
          <w:rStyle w:val="FootnoteReference"/>
        </w:rPr>
        <w:footnoteRef/>
      </w:r>
      <w:r>
        <w:t xml:space="preserve"> The other driver in the 2002 traffic accident stated that she asked Titus whether he was a police officer and that he refused to answer her.  </w:t>
      </w:r>
      <w:r>
        <w:rPr>
          <w:i/>
        </w:rPr>
        <w:t xml:space="preserve">See id. </w:t>
      </w:r>
      <w:r w:rsidRPr="00A34599">
        <w:t>at 2393 ¶ 8.</w:t>
      </w:r>
    </w:p>
  </w:footnote>
  <w:footnote w:id="16">
    <w:p w:rsidR="00CD1B5A" w:rsidRDefault="00CD1B5A">
      <w:pPr>
        <w:pStyle w:val="FootnoteText"/>
      </w:pPr>
      <w:r>
        <w:rPr>
          <w:rStyle w:val="FootnoteReference"/>
        </w:rPr>
        <w:footnoteRef/>
      </w:r>
      <w:r>
        <w:t xml:space="preserve"> A police witness testified that Titus indicated he was in the area to meet someone either involved in amateur radio or that he had met over the Internet.  EB Exh. 4 at 39. </w:t>
      </w:r>
    </w:p>
  </w:footnote>
  <w:footnote w:id="17">
    <w:p w:rsidR="00CD1B5A" w:rsidRPr="007E0667" w:rsidRDefault="00CD1B5A" w:rsidP="00335593">
      <w:pPr>
        <w:pStyle w:val="FootnoteText"/>
        <w:widowControl w:val="0"/>
      </w:pPr>
      <w:r>
        <w:rPr>
          <w:rStyle w:val="FootnoteReference"/>
        </w:rPr>
        <w:footnoteRef/>
      </w:r>
      <w:r>
        <w:t xml:space="preserve"> </w:t>
      </w:r>
      <w:r>
        <w:rPr>
          <w:i/>
        </w:rPr>
        <w:t xml:space="preserve">See </w:t>
      </w:r>
      <w:r>
        <w:t>Initial Decision, 25 FCC Rcd  at 2393 ¶¶ 8-9.</w:t>
      </w:r>
    </w:p>
  </w:footnote>
  <w:footnote w:id="18">
    <w:p w:rsidR="00CD1B5A" w:rsidRPr="007E2BA9" w:rsidRDefault="00CD1B5A" w:rsidP="00335593">
      <w:pPr>
        <w:pStyle w:val="FootnoteText"/>
        <w:widowControl w:val="0"/>
      </w:pPr>
      <w:r>
        <w:rPr>
          <w:rStyle w:val="FootnoteReference"/>
        </w:rPr>
        <w:footnoteRef/>
      </w:r>
      <w:r>
        <w:t xml:space="preserve"> </w:t>
      </w:r>
      <w:r>
        <w:rPr>
          <w:i/>
        </w:rPr>
        <w:t xml:space="preserve">See id. </w:t>
      </w:r>
      <w:r>
        <w:t xml:space="preserve">at 2399-2400 ¶¶ 26-27.   </w:t>
      </w:r>
    </w:p>
  </w:footnote>
  <w:footnote w:id="19">
    <w:p w:rsidR="00CD1B5A" w:rsidRPr="007D1629" w:rsidRDefault="00CD1B5A" w:rsidP="00335593">
      <w:pPr>
        <w:pStyle w:val="FootnoteText"/>
        <w:widowControl w:val="0"/>
      </w:pPr>
      <w:r>
        <w:rPr>
          <w:rStyle w:val="FootnoteReference"/>
        </w:rPr>
        <w:footnoteRef/>
      </w:r>
      <w:r>
        <w:t xml:space="preserve"> </w:t>
      </w:r>
      <w:r>
        <w:rPr>
          <w:i/>
        </w:rPr>
        <w:t>See id.</w:t>
      </w:r>
      <w:r>
        <w:t xml:space="preserve"> at 2395-95 ¶ 12, 2400-01 ¶ 29.</w:t>
      </w:r>
    </w:p>
  </w:footnote>
  <w:footnote w:id="20">
    <w:p w:rsidR="00CD1B5A" w:rsidRPr="005E5A07" w:rsidRDefault="00CD1B5A" w:rsidP="00335593">
      <w:pPr>
        <w:pStyle w:val="FootnoteText"/>
        <w:widowControl w:val="0"/>
      </w:pPr>
      <w:r>
        <w:rPr>
          <w:rStyle w:val="FootnoteReference"/>
        </w:rPr>
        <w:footnoteRef/>
      </w:r>
      <w:r>
        <w:t xml:space="preserve"> </w:t>
      </w:r>
      <w:r>
        <w:rPr>
          <w:i/>
        </w:rPr>
        <w:t xml:space="preserve">See id. </w:t>
      </w:r>
      <w:r>
        <w:t>at 2398 ¶ 22.</w:t>
      </w:r>
    </w:p>
  </w:footnote>
  <w:footnote w:id="21">
    <w:p w:rsidR="00CD1B5A" w:rsidRPr="00995D20" w:rsidRDefault="00CD1B5A" w:rsidP="00335593">
      <w:pPr>
        <w:pStyle w:val="FootnoteText"/>
        <w:widowControl w:val="0"/>
      </w:pPr>
      <w:r>
        <w:rPr>
          <w:rStyle w:val="FootnoteReference"/>
        </w:rPr>
        <w:footnoteRef/>
      </w:r>
      <w:r>
        <w:t xml:space="preserve"> </w:t>
      </w:r>
      <w:r>
        <w:rPr>
          <w:i/>
        </w:rPr>
        <w:t>See David Titus</w:t>
      </w:r>
      <w:r w:rsidRPr="00883E39">
        <w:t>,</w:t>
      </w:r>
      <w:r>
        <w:rPr>
          <w:i/>
        </w:rPr>
        <w:t xml:space="preserve"> </w:t>
      </w:r>
      <w:r>
        <w:t>FCC 08M-51 (Dec. 5, 2008).</w:t>
      </w:r>
    </w:p>
  </w:footnote>
  <w:footnote w:id="22">
    <w:p w:rsidR="00CD1B5A" w:rsidRDefault="00CD1B5A" w:rsidP="00335593">
      <w:pPr>
        <w:pStyle w:val="FootnoteText"/>
        <w:widowControl w:val="0"/>
      </w:pPr>
      <w:r>
        <w:rPr>
          <w:rStyle w:val="FootnoteReference"/>
        </w:rPr>
        <w:footnoteRef/>
      </w:r>
      <w:r>
        <w:t xml:space="preserve"> </w:t>
      </w:r>
      <w:r>
        <w:rPr>
          <w:i/>
        </w:rPr>
        <w:t xml:space="preserve">See </w:t>
      </w:r>
      <w:r w:rsidRPr="001D439E">
        <w:t xml:space="preserve">Enforcement Bureau’s Exceptions to Initial Decision, </w:t>
      </w:r>
      <w:r>
        <w:t>EB Docket No. 07-13, File No. EB-06-IH-5048 (</w:t>
      </w:r>
      <w:r w:rsidRPr="001D439E">
        <w:t>filed April 8, 2010</w:t>
      </w:r>
      <w:r>
        <w:t>)</w:t>
      </w:r>
      <w:r w:rsidRPr="001D439E">
        <w:t xml:space="preserve"> (Exceptions).  </w:t>
      </w:r>
      <w:r>
        <w:t xml:space="preserve">  </w:t>
      </w:r>
    </w:p>
  </w:footnote>
  <w:footnote w:id="23">
    <w:p w:rsidR="00CD1B5A" w:rsidRPr="00643B62" w:rsidRDefault="00CD1B5A" w:rsidP="00335593">
      <w:pPr>
        <w:pStyle w:val="FootnoteText"/>
        <w:widowControl w:val="0"/>
      </w:pPr>
      <w:r>
        <w:rPr>
          <w:rStyle w:val="FootnoteReference"/>
        </w:rPr>
        <w:footnoteRef/>
      </w:r>
      <w:r>
        <w:t xml:space="preserve"> </w:t>
      </w:r>
      <w:r>
        <w:rPr>
          <w:i/>
        </w:rPr>
        <w:t xml:space="preserve">See </w:t>
      </w:r>
      <w:r>
        <w:t>Exceptions at 4-9.</w:t>
      </w:r>
    </w:p>
  </w:footnote>
  <w:footnote w:id="24">
    <w:p w:rsidR="00CD1B5A" w:rsidRPr="00643B62" w:rsidRDefault="00CD1B5A" w:rsidP="00335593">
      <w:pPr>
        <w:pStyle w:val="FootnoteText"/>
        <w:widowControl w:val="0"/>
      </w:pPr>
      <w:r>
        <w:rPr>
          <w:rStyle w:val="FootnoteReference"/>
        </w:rPr>
        <w:footnoteRef/>
      </w:r>
      <w:r>
        <w:t xml:space="preserve"> </w:t>
      </w:r>
      <w:r>
        <w:rPr>
          <w:i/>
        </w:rPr>
        <w:t xml:space="preserve">See id. </w:t>
      </w:r>
      <w:r>
        <w:t>at 9-12.</w:t>
      </w:r>
    </w:p>
  </w:footnote>
  <w:footnote w:id="25">
    <w:p w:rsidR="00CD1B5A" w:rsidRDefault="00CD1B5A" w:rsidP="00335593">
      <w:pPr>
        <w:pStyle w:val="FootnoteText"/>
        <w:widowControl w:val="0"/>
      </w:pPr>
      <w:r>
        <w:rPr>
          <w:rStyle w:val="FootnoteReference"/>
        </w:rPr>
        <w:footnoteRef/>
      </w:r>
      <w:r>
        <w:t xml:space="preserve"> </w:t>
      </w:r>
      <w:r>
        <w:rPr>
          <w:i/>
        </w:rPr>
        <w:t xml:space="preserve">See id. </w:t>
      </w:r>
      <w:r>
        <w:t>at 13-15.</w:t>
      </w:r>
    </w:p>
  </w:footnote>
  <w:footnote w:id="26">
    <w:p w:rsidR="00CD1B5A" w:rsidRDefault="00CD1B5A" w:rsidP="00335593">
      <w:pPr>
        <w:pStyle w:val="FootnoteText"/>
        <w:widowControl w:val="0"/>
      </w:pPr>
      <w:r>
        <w:rPr>
          <w:rStyle w:val="FootnoteReference"/>
        </w:rPr>
        <w:footnoteRef/>
      </w:r>
      <w:r>
        <w:t xml:space="preserve"> </w:t>
      </w:r>
      <w:r>
        <w:rPr>
          <w:i/>
        </w:rPr>
        <w:t xml:space="preserve">See id. </w:t>
      </w:r>
      <w:r>
        <w:t>at 15-18.</w:t>
      </w:r>
    </w:p>
  </w:footnote>
  <w:footnote w:id="27">
    <w:p w:rsidR="00CD1B5A" w:rsidRDefault="00CD1B5A" w:rsidP="00335593">
      <w:pPr>
        <w:pStyle w:val="FootnoteText"/>
        <w:widowControl w:val="0"/>
      </w:pPr>
      <w:r>
        <w:rPr>
          <w:rStyle w:val="FootnoteReference"/>
        </w:rPr>
        <w:footnoteRef/>
      </w:r>
      <w:r>
        <w:t xml:space="preserve"> </w:t>
      </w:r>
      <w:r>
        <w:rPr>
          <w:i/>
        </w:rPr>
        <w:t xml:space="preserve">See id. </w:t>
      </w:r>
      <w:r>
        <w:t xml:space="preserve">at 18-24.  </w:t>
      </w:r>
    </w:p>
  </w:footnote>
  <w:footnote w:id="28">
    <w:p w:rsidR="00CD1B5A" w:rsidRDefault="00CD1B5A" w:rsidP="00335593">
      <w:pPr>
        <w:pStyle w:val="FootnoteText"/>
        <w:widowControl w:val="0"/>
      </w:pPr>
      <w:r>
        <w:rPr>
          <w:rStyle w:val="FootnoteReference"/>
        </w:rPr>
        <w:footnoteRef/>
      </w:r>
      <w:r>
        <w:t xml:space="preserve"> </w:t>
      </w:r>
      <w:r w:rsidRPr="001D439E">
        <w:t>Reply to Exceptions to Initial Decision</w:t>
      </w:r>
      <w:r>
        <w:t>, EB Docket No. 07-13, File No. EB-06-IH-5048 (filed Apr. 26, 2010)</w:t>
      </w:r>
      <w:r w:rsidRPr="001D439E">
        <w:t xml:space="preserve"> (Reply)</w:t>
      </w:r>
      <w:r>
        <w:t>.</w:t>
      </w:r>
    </w:p>
  </w:footnote>
  <w:footnote w:id="29">
    <w:p w:rsidR="00CD1B5A" w:rsidRDefault="00CD1B5A" w:rsidP="00335593">
      <w:pPr>
        <w:pStyle w:val="FootnoteText"/>
        <w:widowControl w:val="0"/>
      </w:pPr>
      <w:r>
        <w:rPr>
          <w:rStyle w:val="FootnoteReference"/>
        </w:rPr>
        <w:footnoteRef/>
      </w:r>
      <w:r>
        <w:t xml:space="preserve"> The ALJ issued his Initial Decision on March 9, 2010.  The Bureau timely filed its Exceptions on April 8, 2010.  Pursuant to section 1.277(c) of the Commission’s rules, Titus was required to file a reply to EB’s exceptions, if at all, by April 21, 2010.  </w:t>
      </w:r>
      <w:r>
        <w:rPr>
          <w:i/>
        </w:rPr>
        <w:t xml:space="preserve">See </w:t>
      </w:r>
      <w:r>
        <w:t>47 C.F.R. § 1.277(c).</w:t>
      </w:r>
    </w:p>
  </w:footnote>
  <w:footnote w:id="30">
    <w:p w:rsidR="00CD1B5A" w:rsidRPr="00172589" w:rsidRDefault="00CD1B5A" w:rsidP="00335593">
      <w:pPr>
        <w:pStyle w:val="FootnoteText"/>
        <w:widowControl w:val="0"/>
      </w:pPr>
      <w:r w:rsidRPr="00B60E3F">
        <w:rPr>
          <w:rStyle w:val="FootnoteReference"/>
        </w:rPr>
        <w:footnoteRef/>
      </w:r>
      <w:r w:rsidRPr="00B60E3F">
        <w:t xml:space="preserve"> Motion to Enlarge the Time to File Reply to Exceptions to Initial Decision, EB Docket No. 07-13</w:t>
      </w:r>
      <w:r>
        <w:t xml:space="preserve">, File No. EB-06-IH-5048 </w:t>
      </w:r>
      <w:r w:rsidRPr="00B60E3F">
        <w:t xml:space="preserve"> (filed April 26, 2010).</w:t>
      </w:r>
    </w:p>
  </w:footnote>
  <w:footnote w:id="31">
    <w:p w:rsidR="00CD1B5A" w:rsidRPr="00A85496" w:rsidRDefault="00CD1B5A" w:rsidP="00335593">
      <w:pPr>
        <w:pStyle w:val="FootnoteText"/>
        <w:widowControl w:val="0"/>
        <w:rPr>
          <w:i/>
        </w:rPr>
      </w:pPr>
      <w:r>
        <w:rPr>
          <w:rStyle w:val="FootnoteReference"/>
        </w:rPr>
        <w:footnoteRef/>
      </w:r>
      <w:r>
        <w:t xml:space="preserve"> </w:t>
      </w:r>
      <w:r>
        <w:rPr>
          <w:i/>
        </w:rPr>
        <w:t>Id.</w:t>
      </w:r>
    </w:p>
  </w:footnote>
  <w:footnote w:id="32">
    <w:p w:rsidR="00CD1B5A" w:rsidRPr="00172589" w:rsidRDefault="00CD1B5A" w:rsidP="00335593">
      <w:pPr>
        <w:pStyle w:val="FootnoteText"/>
        <w:widowControl w:val="0"/>
      </w:pPr>
      <w:r w:rsidRPr="00B60E3F">
        <w:rPr>
          <w:rStyle w:val="FootnoteReference"/>
        </w:rPr>
        <w:footnoteRef/>
      </w:r>
      <w:r w:rsidRPr="00B60E3F">
        <w:t xml:space="preserve"> Enforcement Bureau’s Opposition to Motion to Accept Late-Filed Reply, EB Docket No. 07-13</w:t>
      </w:r>
      <w:r>
        <w:t xml:space="preserve">, File No. EB-06-IH-5048 </w:t>
      </w:r>
      <w:r w:rsidRPr="00B60E3F">
        <w:t xml:space="preserve"> (filed April 30, 2010).</w:t>
      </w:r>
    </w:p>
  </w:footnote>
  <w:footnote w:id="33">
    <w:p w:rsidR="00CD1B5A" w:rsidRDefault="00CD1B5A" w:rsidP="00335593">
      <w:pPr>
        <w:pStyle w:val="FootnoteText"/>
        <w:widowControl w:val="0"/>
      </w:pPr>
      <w:r>
        <w:rPr>
          <w:rStyle w:val="FootnoteReference"/>
        </w:rPr>
        <w:footnoteRef/>
      </w:r>
      <w:r>
        <w:t xml:space="preserve"> 47 C.F.R. § 1.46.</w:t>
      </w:r>
    </w:p>
  </w:footnote>
  <w:footnote w:id="34">
    <w:p w:rsidR="00CD1B5A" w:rsidRDefault="00CD1B5A" w:rsidP="00335593">
      <w:pPr>
        <w:pStyle w:val="FootnoteText"/>
        <w:widowControl w:val="0"/>
      </w:pPr>
      <w:r>
        <w:rPr>
          <w:rStyle w:val="FootnoteReference"/>
        </w:rPr>
        <w:footnoteRef/>
      </w:r>
      <w:r>
        <w:t xml:space="preserve"> </w:t>
      </w:r>
      <w:r>
        <w:rPr>
          <w:i/>
        </w:rPr>
        <w:t xml:space="preserve">See </w:t>
      </w:r>
      <w:r w:rsidRPr="00B60E3F">
        <w:rPr>
          <w:i/>
        </w:rPr>
        <w:t>BDPCS, Inc. v. FCC</w:t>
      </w:r>
      <w:r w:rsidRPr="00B60E3F">
        <w:t xml:space="preserve">, 351 F.3d 1177, 1184 (D.C. Cir. 2003) (quoting </w:t>
      </w:r>
      <w:r w:rsidRPr="00B60E3F">
        <w:rPr>
          <w:i/>
        </w:rPr>
        <w:t>21</w:t>
      </w:r>
      <w:r w:rsidRPr="001672A0">
        <w:rPr>
          <w:i/>
          <w:vertAlign w:val="superscript"/>
        </w:rPr>
        <w:t>st</w:t>
      </w:r>
      <w:r w:rsidRPr="00B60E3F">
        <w:rPr>
          <w:i/>
        </w:rPr>
        <w:t xml:space="preserve"> Century Telesis Joint Venture v. FCC</w:t>
      </w:r>
      <w:r w:rsidRPr="00B60E3F">
        <w:t>, 318 F.3d 192, 199-200 (D.C. Cir. 2003))</w:t>
      </w:r>
      <w:r>
        <w:t xml:space="preserve">. </w:t>
      </w:r>
    </w:p>
  </w:footnote>
  <w:footnote w:id="35">
    <w:p w:rsidR="00CD1B5A" w:rsidRDefault="00CD1B5A" w:rsidP="00335593">
      <w:pPr>
        <w:pStyle w:val="FootnoteText"/>
        <w:widowControl w:val="0"/>
      </w:pPr>
      <w:r>
        <w:rPr>
          <w:rStyle w:val="FootnoteReference"/>
        </w:rPr>
        <w:footnoteRef/>
      </w:r>
      <w:r>
        <w:t xml:space="preserve"> Titus’s reliance on our decision in </w:t>
      </w:r>
      <w:r>
        <w:rPr>
          <w:i/>
        </w:rPr>
        <w:t>Pappas Telecasting Companies</w:t>
      </w:r>
      <w:r>
        <w:t xml:space="preserve">, 19 FCC Rcd 22813 (Med. Bur. 2004), is unavailing. That decision involved the grant of a </w:t>
      </w:r>
      <w:r w:rsidRPr="00B959BC">
        <w:rPr>
          <w:i/>
        </w:rPr>
        <w:t>timely</w:t>
      </w:r>
      <w:r>
        <w:t xml:space="preserve"> request for additional time—that is, a request for additional time filed prior to the applicable deadline.  </w:t>
      </w:r>
      <w:r>
        <w:rPr>
          <w:i/>
        </w:rPr>
        <w:t>Id.</w:t>
      </w:r>
      <w:r>
        <w:t xml:space="preserve">; </w:t>
      </w:r>
      <w:r>
        <w:rPr>
          <w:i/>
        </w:rPr>
        <w:t xml:space="preserve">see also </w:t>
      </w:r>
      <w:r>
        <w:t xml:space="preserve">47 C.F.R. § 1.46(b) (requiring motions for extension of time to be filed a minimum number of days before the applicable deadline).  Here, by contrast, Titus requested a waiver of the filing deadline </w:t>
      </w:r>
      <w:r w:rsidRPr="00B959BC">
        <w:rPr>
          <w:i/>
        </w:rPr>
        <w:t>after</w:t>
      </w:r>
      <w:r>
        <w:t xml:space="preserve"> it had already passed.</w:t>
      </w:r>
    </w:p>
  </w:footnote>
  <w:footnote w:id="36">
    <w:p w:rsidR="00CD1B5A" w:rsidRDefault="00CD1B5A" w:rsidP="00335593">
      <w:pPr>
        <w:pStyle w:val="FootnoteText"/>
        <w:widowControl w:val="0"/>
      </w:pPr>
      <w:r>
        <w:rPr>
          <w:rStyle w:val="FootnoteReference"/>
        </w:rPr>
        <w:footnoteRef/>
      </w:r>
      <w:r w:rsidRPr="00FC6404">
        <w:rPr>
          <w:i/>
        </w:rPr>
        <w:t>See Indep</w:t>
      </w:r>
      <w:r>
        <w:rPr>
          <w:i/>
        </w:rPr>
        <w:t>endent Communications, Inc.</w:t>
      </w:r>
      <w:r>
        <w:t>,</w:t>
      </w:r>
      <w:r w:rsidRPr="00BD1ACA">
        <w:t xml:space="preserve"> 15 FCC Rcd 7080, 7081 ¶ 6 (1999) (counsel’s illness does not justify waiver of filing deadline); </w:t>
      </w:r>
      <w:r w:rsidRPr="00FC6404">
        <w:rPr>
          <w:i/>
        </w:rPr>
        <w:t>Northwest Broad</w:t>
      </w:r>
      <w:r>
        <w:rPr>
          <w:i/>
        </w:rPr>
        <w:t>casting</w:t>
      </w:r>
      <w:r w:rsidRPr="00FC6404">
        <w:rPr>
          <w:i/>
        </w:rPr>
        <w:t xml:space="preserve">., Inc., </w:t>
      </w:r>
      <w:r w:rsidRPr="00BD1ACA">
        <w:t xml:space="preserve"> 6 Comm. Reg. (P&amp;F) 685 ¶ 9 (1997) (declining to consider petitioners’ untimely objection to a license assignment, which petitioners attributed to inexperienced counsel); </w:t>
      </w:r>
      <w:r w:rsidRPr="00FC6404">
        <w:rPr>
          <w:i/>
        </w:rPr>
        <w:t>Crystal Broad</w:t>
      </w:r>
      <w:r>
        <w:rPr>
          <w:i/>
        </w:rPr>
        <w:t>cast</w:t>
      </w:r>
      <w:r w:rsidRPr="00FC6404">
        <w:rPr>
          <w:i/>
        </w:rPr>
        <w:t xml:space="preserve"> Partners</w:t>
      </w:r>
      <w:r w:rsidRPr="00BD1ACA">
        <w:t xml:space="preserve">, 11 FCC Rcd </w:t>
      </w:r>
      <w:r>
        <w:t xml:space="preserve">4680, </w:t>
      </w:r>
      <w:r w:rsidRPr="00BD1ACA">
        <w:t xml:space="preserve">4681 ¶ </w:t>
      </w:r>
      <w:r>
        <w:t> </w:t>
      </w:r>
      <w:r w:rsidRPr="00BD1ACA">
        <w:t>8</w:t>
      </w:r>
      <w:r>
        <w:t xml:space="preserve"> (1996)</w:t>
      </w:r>
      <w:r w:rsidRPr="00BD1ACA">
        <w:t xml:space="preserve"> (declining to waive deadline after counsel filed application for review four days late); </w:t>
      </w:r>
      <w:r w:rsidRPr="00FC6404">
        <w:rPr>
          <w:i/>
        </w:rPr>
        <w:t xml:space="preserve">RDH </w:t>
      </w:r>
      <w:r>
        <w:rPr>
          <w:i/>
        </w:rPr>
        <w:t xml:space="preserve">Communication, Limited Partnership, </w:t>
      </w:r>
      <w:r w:rsidRPr="00BD1ACA">
        <w:t>6 FCC Rcd 4764, 4765 ¶ 5 (1991) (“[r]egardless of … whether the omission occurred in the office of applicant’s counsel, or in transit, the applicant bears the full burden of its (or its agents’) failure to</w:t>
      </w:r>
      <w:r>
        <w:t xml:space="preserve"> file a complete application.”). </w:t>
      </w:r>
    </w:p>
  </w:footnote>
  <w:footnote w:id="37">
    <w:p w:rsidR="00CD1B5A" w:rsidRPr="00C11AAB" w:rsidRDefault="00CD1B5A" w:rsidP="00335593">
      <w:pPr>
        <w:pStyle w:val="FootnoteText"/>
        <w:widowControl w:val="0"/>
      </w:pPr>
      <w:r>
        <w:rPr>
          <w:rStyle w:val="FootnoteReference"/>
        </w:rPr>
        <w:footnoteRef/>
      </w:r>
      <w:r>
        <w:t xml:space="preserve"> </w:t>
      </w:r>
      <w:r w:rsidRPr="001672A0">
        <w:rPr>
          <w:i/>
        </w:rPr>
        <w:t>NetworkIP</w:t>
      </w:r>
      <w:r>
        <w:t xml:space="preserve">, </w:t>
      </w:r>
      <w:r>
        <w:rPr>
          <w:i/>
        </w:rPr>
        <w:t>LLC v. FCC</w:t>
      </w:r>
      <w:r>
        <w:t>, 548 F.3d 116, 126 (D.C. Cir. 2008) (</w:t>
      </w:r>
      <w:r w:rsidRPr="00ED254C">
        <w:t>waiver of filing deadline after counsel failed to timely remit the correct filing fee was arbitrary and capricious</w:t>
      </w:r>
      <w:r>
        <w:t>)</w:t>
      </w:r>
      <w:r w:rsidRPr="001672A0">
        <w:t xml:space="preserve">; </w:t>
      </w:r>
      <w:r w:rsidRPr="00A31E3D">
        <w:rPr>
          <w:i/>
        </w:rPr>
        <w:t>see also, e.g.</w:t>
      </w:r>
      <w:r>
        <w:t xml:space="preserve">, </w:t>
      </w:r>
      <w:r w:rsidRPr="001672A0">
        <w:rPr>
          <w:i/>
        </w:rPr>
        <w:t>Virgin Islands Tel. Corp. v. FCC</w:t>
      </w:r>
      <w:r w:rsidRPr="001672A0">
        <w:t>, 989 F.2d 1231, 1237 (D.C.Cir.</w:t>
      </w:r>
      <w:r>
        <w:t xml:space="preserve"> </w:t>
      </w:r>
      <w:r w:rsidRPr="001672A0">
        <w:t>1993)</w:t>
      </w:r>
      <w:r>
        <w:t xml:space="preserve"> (</w:t>
      </w:r>
      <w:r w:rsidRPr="00ED254C">
        <w:t>tardiness caused by miscommunication among petitioner’s counsel was not an “unusual circumstance” that excused its late-filed petition for reconsideration</w:t>
      </w:r>
      <w:r>
        <w:t xml:space="preserve">); </w:t>
      </w:r>
      <w:r w:rsidRPr="000C5683">
        <w:rPr>
          <w:i/>
        </w:rPr>
        <w:t>Reuters LTD. v. FCC</w:t>
      </w:r>
      <w:r w:rsidRPr="00ED254C">
        <w:t>, 781 F.2d 946, 952 (D.C. Cir. 1986) (FCC “acted beyond its lawful authority when it entertained” a petition for reconsideration filed two days late).</w:t>
      </w:r>
    </w:p>
  </w:footnote>
  <w:footnote w:id="38">
    <w:p w:rsidR="00CD1B5A" w:rsidRPr="0075220D" w:rsidRDefault="00CD1B5A" w:rsidP="00335593">
      <w:pPr>
        <w:pStyle w:val="FootnoteText"/>
        <w:widowControl w:val="0"/>
      </w:pPr>
      <w:r>
        <w:rPr>
          <w:rStyle w:val="FootnoteReference"/>
        </w:rPr>
        <w:footnoteRef/>
      </w:r>
      <w:r>
        <w:t xml:space="preserve"> Titus also filed a motion asking the Commission to accept a reply to EB’s opposition.  </w:t>
      </w:r>
      <w:r>
        <w:rPr>
          <w:i/>
        </w:rPr>
        <w:t xml:space="preserve">See </w:t>
      </w:r>
      <w:r>
        <w:t>Motion to Accept Reply to Opposition to Motion to Enlarge the Time to File Reply to Exceptions to Initial</w:t>
      </w:r>
      <w:r w:rsidRPr="0075220D">
        <w:t xml:space="preserve"> D</w:t>
      </w:r>
      <w:r>
        <w:t>ecision</w:t>
      </w:r>
      <w:r>
        <w:rPr>
          <w:i/>
        </w:rPr>
        <w:t xml:space="preserve">, </w:t>
      </w:r>
      <w:r>
        <w:t xml:space="preserve">EB Docket No. 07-13, File No. EB-06-IH-5048 (filed May 11, 2010).  Section 1.294(c) of our rules provides that replies to oppositions in hearing cases “will not be entertained” except in certain circumstances, none of which are applicable here.  </w:t>
      </w:r>
      <w:r>
        <w:rPr>
          <w:i/>
        </w:rPr>
        <w:t xml:space="preserve">See </w:t>
      </w:r>
      <w:r>
        <w:t>47 C.F.R. § 1.294(c).  Accordingly, we deny Titus’s motion.</w:t>
      </w:r>
    </w:p>
  </w:footnote>
  <w:footnote w:id="39">
    <w:p w:rsidR="00CD1B5A" w:rsidRPr="00126842" w:rsidRDefault="00CD1B5A" w:rsidP="00335593">
      <w:pPr>
        <w:pStyle w:val="FootnoteText"/>
        <w:widowControl w:val="0"/>
      </w:pPr>
      <w:r>
        <w:rPr>
          <w:rStyle w:val="FootnoteReference"/>
        </w:rPr>
        <w:footnoteRef/>
      </w:r>
      <w:r>
        <w:t xml:space="preserve"> </w:t>
      </w:r>
      <w:r>
        <w:rPr>
          <w:i/>
        </w:rPr>
        <w:t xml:space="preserve">See </w:t>
      </w:r>
      <w:r>
        <w:t xml:space="preserve">5 U.S.C. § 557(a) (“[o]n appeal from or review of the initial decision, the agency has all the powers which it would have in making the initial decision . . . . “).    </w:t>
      </w:r>
    </w:p>
  </w:footnote>
  <w:footnote w:id="40">
    <w:p w:rsidR="00CD1B5A" w:rsidRDefault="00CD1B5A" w:rsidP="00335593">
      <w:pPr>
        <w:pStyle w:val="FootnoteText"/>
        <w:widowControl w:val="0"/>
      </w:pPr>
      <w:r>
        <w:rPr>
          <w:rStyle w:val="FootnoteReference"/>
        </w:rPr>
        <w:footnoteRef/>
      </w:r>
      <w:r>
        <w:t xml:space="preserve"> </w:t>
      </w:r>
      <w:r>
        <w:rPr>
          <w:i/>
        </w:rPr>
        <w:t xml:space="preserve">See Moore v. Ross, </w:t>
      </w:r>
      <w:r>
        <w:t>687 F.2d 604, 609 (2d Cir. 1982).</w:t>
      </w:r>
    </w:p>
  </w:footnote>
  <w:footnote w:id="41">
    <w:p w:rsidR="00CD1B5A" w:rsidRPr="008954AA" w:rsidRDefault="00CD1B5A" w:rsidP="00F0169A">
      <w:pPr>
        <w:pStyle w:val="FootnoteText"/>
        <w:widowControl w:val="0"/>
      </w:pPr>
      <w:r>
        <w:rPr>
          <w:rStyle w:val="FootnoteReference"/>
        </w:rPr>
        <w:footnoteRef/>
      </w:r>
      <w:r>
        <w:t xml:space="preserve"> </w:t>
      </w:r>
      <w:r>
        <w:rPr>
          <w:i/>
        </w:rPr>
        <w:t>See</w:t>
      </w:r>
      <w:r>
        <w:rPr>
          <w:i/>
          <w:color w:val="000000"/>
        </w:rPr>
        <w:t xml:space="preserve"> </w:t>
      </w:r>
      <w:r>
        <w:rPr>
          <w:i/>
        </w:rPr>
        <w:t>Character Qualifications</w:t>
      </w:r>
      <w:r w:rsidRPr="00883E39">
        <w:t>,</w:t>
      </w:r>
      <w:r>
        <w:rPr>
          <w:i/>
        </w:rPr>
        <w:t xml:space="preserve"> </w:t>
      </w:r>
      <w:r>
        <w:t>102 FCC 2d 1179 (1986) (</w:t>
      </w:r>
      <w:r w:rsidRPr="003B7CD0">
        <w:rPr>
          <w:i/>
        </w:rPr>
        <w:t xml:space="preserve">1986 </w:t>
      </w:r>
      <w:r>
        <w:rPr>
          <w:i/>
        </w:rPr>
        <w:t>P</w:t>
      </w:r>
      <w:r w:rsidRPr="003B7CD0">
        <w:rPr>
          <w:i/>
        </w:rPr>
        <w:t>olicy Statement</w:t>
      </w:r>
      <w:r>
        <w:t xml:space="preserve">), </w:t>
      </w:r>
      <w:r>
        <w:rPr>
          <w:i/>
        </w:rPr>
        <w:t xml:space="preserve">recon. dismissed/denied, </w:t>
      </w:r>
      <w:r>
        <w:t xml:space="preserve">1 FCC Rcd 421 (1986); </w:t>
      </w:r>
      <w:r w:rsidRPr="00086268">
        <w:rPr>
          <w:i/>
        </w:rPr>
        <w:t>Policy Regarding Character Qualifications in Broadcast Licensing</w:t>
      </w:r>
      <w:r w:rsidRPr="00883E39">
        <w:t>,</w:t>
      </w:r>
      <w:r w:rsidRPr="00086268">
        <w:rPr>
          <w:i/>
        </w:rPr>
        <w:t xml:space="preserve"> </w:t>
      </w:r>
      <w:r w:rsidRPr="00086268">
        <w:t>5 FCC Rcd 3252 (1990)</w:t>
      </w:r>
      <w:r>
        <w:t xml:space="preserve"> (</w:t>
      </w:r>
      <w:r w:rsidRPr="00641A04">
        <w:rPr>
          <w:i/>
        </w:rPr>
        <w:t xml:space="preserve">1990 </w:t>
      </w:r>
      <w:r>
        <w:rPr>
          <w:i/>
        </w:rPr>
        <w:t>Policy Statement</w:t>
      </w:r>
      <w:r>
        <w:t xml:space="preserve">), </w:t>
      </w:r>
      <w:r>
        <w:rPr>
          <w:i/>
        </w:rPr>
        <w:t xml:space="preserve">modified, </w:t>
      </w:r>
      <w:r>
        <w:t xml:space="preserve">6 FCC Rcd 3448 (1991), </w:t>
      </w:r>
      <w:r>
        <w:rPr>
          <w:i/>
        </w:rPr>
        <w:t xml:space="preserve">further modified, </w:t>
      </w:r>
      <w:r>
        <w:t xml:space="preserve">7 FCC Rcd 6564 (1992).  </w:t>
      </w:r>
    </w:p>
  </w:footnote>
  <w:footnote w:id="42">
    <w:p w:rsidR="00CD1B5A" w:rsidRPr="00C1750D" w:rsidRDefault="00CD1B5A" w:rsidP="00F0169A">
      <w:pPr>
        <w:pStyle w:val="FootnoteText"/>
        <w:widowControl w:val="0"/>
      </w:pPr>
      <w:r>
        <w:rPr>
          <w:rStyle w:val="FootnoteReference"/>
        </w:rPr>
        <w:footnoteRef/>
      </w:r>
      <w:r>
        <w:t xml:space="preserve"> </w:t>
      </w:r>
      <w:r>
        <w:rPr>
          <w:i/>
        </w:rPr>
        <w:t xml:space="preserve">See 1986 Policy Statement, </w:t>
      </w:r>
      <w:r>
        <w:t xml:space="preserve">102 FCC 2d at 1227-28 ¶ 102; </w:t>
      </w:r>
      <w:r>
        <w:rPr>
          <w:i/>
        </w:rPr>
        <w:t xml:space="preserve">1990 Policy Statement, </w:t>
      </w:r>
      <w:r>
        <w:t xml:space="preserve">5 FCC Rcd at 3252 ¶ 5.  Factors relevant to rehabilitation include: (1) whether the applicant has not been involved in any significant wrongdoing since the alleged misconduct occurred; (2) how much time has elapsed since the misconduct; (3) the applicant’s reputation for good character in the community; and (4) meaningful measures taken by the applicant to prevent the future occurrence of misconduct.  </w:t>
      </w:r>
      <w:r>
        <w:rPr>
          <w:i/>
        </w:rPr>
        <w:t>See 1990 Policy Statement</w:t>
      </w:r>
      <w:r>
        <w:t xml:space="preserve">, 5 FCC Rcd at 3252 n.4. </w:t>
      </w:r>
    </w:p>
  </w:footnote>
  <w:footnote w:id="43">
    <w:p w:rsidR="00CD1B5A" w:rsidRPr="00C1750D" w:rsidRDefault="00CD1B5A" w:rsidP="00973B5C">
      <w:pPr>
        <w:pStyle w:val="FootnoteText"/>
        <w:widowControl w:val="0"/>
      </w:pPr>
      <w:r>
        <w:rPr>
          <w:rStyle w:val="FootnoteReference"/>
        </w:rPr>
        <w:footnoteRef/>
      </w:r>
      <w:r>
        <w:t xml:space="preserve"> </w:t>
      </w:r>
      <w:r>
        <w:rPr>
          <w:i/>
        </w:rPr>
        <w:t xml:space="preserve">See 1986 Policy Statement, </w:t>
      </w:r>
      <w:r>
        <w:t>102 FCC 2d at 1205 n.60.</w:t>
      </w:r>
      <w:r>
        <w:rPr>
          <w:i/>
        </w:rPr>
        <w:t xml:space="preserve"> </w:t>
      </w:r>
    </w:p>
  </w:footnote>
  <w:footnote w:id="44">
    <w:p w:rsidR="00CD1B5A" w:rsidRPr="00A656D8" w:rsidRDefault="00CD1B5A" w:rsidP="00973B5C">
      <w:pPr>
        <w:pStyle w:val="FootnoteText"/>
        <w:widowControl w:val="0"/>
      </w:pPr>
      <w:r>
        <w:rPr>
          <w:rStyle w:val="FootnoteReference"/>
        </w:rPr>
        <w:footnoteRef/>
      </w:r>
      <w:r>
        <w:t xml:space="preserve"> </w:t>
      </w:r>
      <w:r>
        <w:rPr>
          <w:i/>
        </w:rPr>
        <w:t xml:space="preserve">See </w:t>
      </w:r>
      <w:r>
        <w:t>Initial Decision, 25 FCC Rcd at 2397-98 ¶ 22.</w:t>
      </w:r>
    </w:p>
  </w:footnote>
  <w:footnote w:id="45">
    <w:p w:rsidR="00CD1B5A" w:rsidRDefault="00CD1B5A" w:rsidP="00973B5C">
      <w:pPr>
        <w:pStyle w:val="FootnoteText"/>
        <w:widowControl w:val="0"/>
      </w:pPr>
      <w:r>
        <w:rPr>
          <w:rStyle w:val="FootnoteReference"/>
        </w:rPr>
        <w:footnoteRef/>
      </w:r>
      <w:r>
        <w:t xml:space="preserve"> </w:t>
      </w:r>
      <w:r>
        <w:rPr>
          <w:i/>
        </w:rPr>
        <w:t>See, e.g.</w:t>
      </w:r>
      <w:r>
        <w:t xml:space="preserve"> </w:t>
      </w:r>
      <w:r>
        <w:rPr>
          <w:i/>
        </w:rPr>
        <w:t xml:space="preserve">George E. Rogers, </w:t>
      </w:r>
      <w:r>
        <w:t>10 FCC Rcd 3978 (WTB 1995) (sex offender used amateur radio to engage children in sexual talk and activities).</w:t>
      </w:r>
    </w:p>
  </w:footnote>
  <w:footnote w:id="46">
    <w:p w:rsidR="00CD1B5A" w:rsidRPr="00D46996" w:rsidRDefault="00CD1B5A" w:rsidP="00973B5C">
      <w:pPr>
        <w:pStyle w:val="FootnoteText"/>
        <w:widowControl w:val="0"/>
      </w:pPr>
      <w:r>
        <w:rPr>
          <w:rStyle w:val="FootnoteReference"/>
        </w:rPr>
        <w:footnoteRef/>
      </w:r>
      <w:r>
        <w:t xml:space="preserve"> </w:t>
      </w:r>
      <w:r>
        <w:rPr>
          <w:i/>
        </w:rPr>
        <w:t xml:space="preserve">See supra </w:t>
      </w:r>
      <w:r>
        <w:t xml:space="preserve">note </w:t>
      </w:r>
      <w:r w:rsidR="00925103">
        <w:t>42</w:t>
      </w:r>
    </w:p>
  </w:footnote>
  <w:footnote w:id="47">
    <w:p w:rsidR="00CD1B5A" w:rsidRPr="003535E6" w:rsidRDefault="00CD1B5A" w:rsidP="00973B5C">
      <w:pPr>
        <w:pStyle w:val="FootnoteText"/>
        <w:widowControl w:val="0"/>
      </w:pPr>
      <w:r>
        <w:rPr>
          <w:rStyle w:val="FootnoteReference"/>
        </w:rPr>
        <w:footnoteRef/>
      </w:r>
      <w:r>
        <w:t xml:space="preserve"> </w:t>
      </w:r>
      <w:r>
        <w:rPr>
          <w:i/>
        </w:rPr>
        <w:t xml:space="preserve">See Contemporary Media, Inc., </w:t>
      </w:r>
      <w:r>
        <w:t xml:space="preserve">13 FCC Rcd 14437 (1998), </w:t>
      </w:r>
      <w:r>
        <w:rPr>
          <w:i/>
        </w:rPr>
        <w:t xml:space="preserve">aff’d, </w:t>
      </w:r>
      <w:r>
        <w:t xml:space="preserve">214 F.3d 187 (D.C. Cir. 2000) (revoking the license of a broadcaster based on its principal’s conviction for child molestation); </w:t>
      </w:r>
      <w:r>
        <w:rPr>
          <w:i/>
        </w:rPr>
        <w:t xml:space="preserve">Lonnie L. Keeney, </w:t>
      </w:r>
      <w:r>
        <w:t xml:space="preserve">24 FCC Rcd 2426 (EB 2009) (revoking the amateur radio license of a child molester); </w:t>
      </w:r>
      <w:r>
        <w:rPr>
          <w:i/>
        </w:rPr>
        <w:t xml:space="preserve">Robert D. Landis, </w:t>
      </w:r>
      <w:r>
        <w:t>22 FCC Rcd 19979 (EB 2007) (revoking the amateur radio license of a child molester).</w:t>
      </w:r>
    </w:p>
  </w:footnote>
  <w:footnote w:id="48">
    <w:p w:rsidR="00CD1B5A" w:rsidRDefault="00CD1B5A" w:rsidP="00F0169A">
      <w:pPr>
        <w:pStyle w:val="FootnoteText"/>
      </w:pPr>
      <w:r>
        <w:rPr>
          <w:rStyle w:val="FootnoteReference"/>
        </w:rPr>
        <w:footnoteRef/>
      </w:r>
      <w:r>
        <w:t xml:space="preserve"> </w:t>
      </w:r>
      <w:r>
        <w:rPr>
          <w:i/>
        </w:rPr>
        <w:t xml:space="preserve">See </w:t>
      </w:r>
      <w:r>
        <w:t>Initial Decision, 25 FCC Rcd at 2397 ¶ 21.</w:t>
      </w:r>
    </w:p>
  </w:footnote>
  <w:footnote w:id="49">
    <w:p w:rsidR="00CD1B5A" w:rsidRPr="004078F2" w:rsidRDefault="00CD1B5A" w:rsidP="00F0169A">
      <w:pPr>
        <w:pStyle w:val="FootnoteText"/>
      </w:pPr>
      <w:r>
        <w:rPr>
          <w:rStyle w:val="FootnoteReference"/>
        </w:rPr>
        <w:footnoteRef/>
      </w:r>
      <w:r>
        <w:t xml:space="preserve"> </w:t>
      </w:r>
      <w:r>
        <w:rPr>
          <w:i/>
        </w:rPr>
        <w:t>Id.</w:t>
      </w:r>
    </w:p>
  </w:footnote>
  <w:footnote w:id="50">
    <w:p w:rsidR="00CD1B5A" w:rsidRPr="005F399C" w:rsidRDefault="00CD1B5A" w:rsidP="00F0169A">
      <w:pPr>
        <w:pStyle w:val="FootnoteText"/>
        <w:widowControl w:val="0"/>
      </w:pPr>
      <w:r>
        <w:rPr>
          <w:rStyle w:val="FootnoteReference"/>
        </w:rPr>
        <w:footnoteRef/>
      </w:r>
      <w:r>
        <w:t xml:space="preserve"> </w:t>
      </w:r>
      <w:r>
        <w:rPr>
          <w:i/>
        </w:rPr>
        <w:t>1990 Policy Statement</w:t>
      </w:r>
      <w:r w:rsidRPr="00F03B1D">
        <w:t>,</w:t>
      </w:r>
      <w:r>
        <w:rPr>
          <w:i/>
        </w:rPr>
        <w:t xml:space="preserve"> </w:t>
      </w:r>
      <w:r w:rsidRPr="00086268">
        <w:t>5 FCC Rcd</w:t>
      </w:r>
      <w:r>
        <w:t xml:space="preserve"> at 3252 (emphasis added; footnotes omitted). The Commission further specifically noted that it also “retain[s] the discretion to consider serious misdemeanor convictions in appropriate or compelling cases, particularly where there is a pattern of such convictions.”  </w:t>
      </w:r>
      <w:r>
        <w:rPr>
          <w:i/>
        </w:rPr>
        <w:t xml:space="preserve">Id. </w:t>
      </w:r>
      <w:r>
        <w:t>at 3254 n.3.</w:t>
      </w:r>
    </w:p>
  </w:footnote>
  <w:footnote w:id="51">
    <w:p w:rsidR="00CD1B5A" w:rsidRDefault="00CD1B5A" w:rsidP="00F0169A">
      <w:pPr>
        <w:pStyle w:val="FootnoteText"/>
      </w:pPr>
      <w:r>
        <w:rPr>
          <w:rStyle w:val="FootnoteReference"/>
        </w:rPr>
        <w:footnoteRef/>
      </w:r>
      <w:r>
        <w:t xml:space="preserve"> </w:t>
      </w:r>
      <w:r>
        <w:rPr>
          <w:i/>
        </w:rPr>
        <w:t xml:space="preserve">Id. </w:t>
      </w:r>
      <w:r>
        <w:t xml:space="preserve">at 3254 n.2; </w:t>
      </w:r>
      <w:r>
        <w:rPr>
          <w:i/>
        </w:rPr>
        <w:t>see also, e.g.</w:t>
      </w:r>
      <w:r>
        <w:t xml:space="preserve">, </w:t>
      </w:r>
      <w:r>
        <w:rPr>
          <w:i/>
        </w:rPr>
        <w:t>Moncrieffe v. Holder</w:t>
      </w:r>
      <w:r w:rsidRPr="00223C7E">
        <w:t xml:space="preserve">, </w:t>
      </w:r>
      <w:r>
        <w:t>133 S.</w:t>
      </w:r>
      <w:r w:rsidR="00223C7E">
        <w:t xml:space="preserve"> </w:t>
      </w:r>
      <w:r>
        <w:t xml:space="preserve">Ct. 1678, 1686-87 (2013) (whether alien’s state conviction for possession of marijuana constitutes an aggravated felony justifying deportation is governed by federal not state characterization of the offense); </w:t>
      </w:r>
      <w:r>
        <w:rPr>
          <w:i/>
        </w:rPr>
        <w:t>Ewing v. California</w:t>
      </w:r>
      <w:r w:rsidRPr="00223C7E">
        <w:t xml:space="preserve">, </w:t>
      </w:r>
      <w:r>
        <w:t>538 U.S. 11, 28-29 (2003) (for purposes of the “three strike rule” fact that court had discretion to treat grand theft as a misdemeanor under state law is not determinative where felony sentence was actually imposed).</w:t>
      </w:r>
    </w:p>
  </w:footnote>
  <w:footnote w:id="52">
    <w:p w:rsidR="00CD1B5A" w:rsidRPr="004078F2" w:rsidRDefault="00CD1B5A" w:rsidP="00F0169A">
      <w:pPr>
        <w:pStyle w:val="FootnoteText"/>
      </w:pPr>
      <w:r>
        <w:rPr>
          <w:rStyle w:val="FootnoteReference"/>
        </w:rPr>
        <w:footnoteRef/>
      </w:r>
      <w:r>
        <w:t xml:space="preserve"> </w:t>
      </w:r>
      <w:r>
        <w:rPr>
          <w:i/>
        </w:rPr>
        <w:t xml:space="preserve">See </w:t>
      </w:r>
      <w:r>
        <w:t xml:space="preserve">Initial Decision, 25 FCC Rcd at 2397 ¶ 21. </w:t>
      </w:r>
    </w:p>
  </w:footnote>
  <w:footnote w:id="53">
    <w:p w:rsidR="00CD1B5A" w:rsidRPr="002301B4" w:rsidRDefault="00CD1B5A" w:rsidP="00F0169A">
      <w:pPr>
        <w:pStyle w:val="FootnoteText"/>
        <w:rPr>
          <w:i/>
        </w:rPr>
      </w:pPr>
      <w:r>
        <w:rPr>
          <w:rStyle w:val="FootnoteReference"/>
        </w:rPr>
        <w:footnoteRef/>
      </w:r>
      <w:r>
        <w:t xml:space="preserve"> The ten-year statute of limitations on which the ALJ relied applies to allegations of FCC-related misconduct. </w:t>
      </w:r>
      <w:r>
        <w:rPr>
          <w:i/>
        </w:rPr>
        <w:t>See 1986 Policy Statement</w:t>
      </w:r>
      <w:r>
        <w:t>, 102 FCC 2d</w:t>
      </w:r>
      <w:r w:rsidRPr="001327D1">
        <w:t xml:space="preserve"> at 1229</w:t>
      </w:r>
      <w:r>
        <w:t xml:space="preserve">. Indeed, under the </w:t>
      </w:r>
      <w:r w:rsidRPr="002301B4">
        <w:rPr>
          <w:i/>
        </w:rPr>
        <w:t>1990 Policy Statement</w:t>
      </w:r>
      <w:r>
        <w:t xml:space="preserve">, the Commission generally does not even consider allegations of non-FCC-related misconduct. </w:t>
      </w:r>
      <w:r>
        <w:rPr>
          <w:i/>
        </w:rPr>
        <w:t>See 1990 Policy Statement</w:t>
      </w:r>
      <w:r w:rsidRPr="00F03B1D">
        <w:t>,</w:t>
      </w:r>
      <w:r>
        <w:rPr>
          <w:i/>
        </w:rPr>
        <w:t xml:space="preserve"> </w:t>
      </w:r>
      <w:r w:rsidRPr="00086268">
        <w:t>5 FCC Rcd</w:t>
      </w:r>
      <w:r>
        <w:t xml:space="preserve"> at 3252 (“it is appropriate to refrain from making licensing decisions based on mere allegations of relevant non-FCC misconduct, even where those allegations have resulted in an indictment or are otherwise in the process of being adjudicated by another agency or court.”).</w:t>
      </w:r>
    </w:p>
  </w:footnote>
  <w:footnote w:id="54">
    <w:p w:rsidR="00CD1B5A" w:rsidRPr="00D46996" w:rsidRDefault="00CD1B5A" w:rsidP="002301B4">
      <w:pPr>
        <w:pStyle w:val="FootnoteText"/>
        <w:widowControl w:val="0"/>
      </w:pPr>
      <w:r>
        <w:rPr>
          <w:rStyle w:val="FootnoteReference"/>
        </w:rPr>
        <w:footnoteRef/>
      </w:r>
      <w:r>
        <w:t xml:space="preserve"> 47 U.S.C. § 312(d).</w:t>
      </w:r>
    </w:p>
  </w:footnote>
  <w:footnote w:id="55">
    <w:p w:rsidR="00CD1B5A" w:rsidRPr="00AB211F" w:rsidRDefault="00CD1B5A" w:rsidP="002301B4">
      <w:pPr>
        <w:pStyle w:val="FootnoteText"/>
        <w:widowControl w:val="0"/>
        <w:rPr>
          <w:i/>
        </w:rPr>
      </w:pPr>
      <w:r>
        <w:rPr>
          <w:rStyle w:val="FootnoteReference"/>
        </w:rPr>
        <w:footnoteRef/>
      </w:r>
      <w:r>
        <w:t xml:space="preserve"> </w:t>
      </w:r>
      <w:r w:rsidR="00533DA4" w:rsidRPr="0075321D">
        <w:rPr>
          <w:bCs/>
          <w:color w:val="000000" w:themeColor="text1"/>
          <w:szCs w:val="22"/>
        </w:rPr>
        <w:t xml:space="preserve">The Supreme Court has made clear that once a party having the burden of proof comes forward with a </w:t>
      </w:r>
      <w:r w:rsidR="00533DA4">
        <w:rPr>
          <w:bCs/>
          <w:i/>
          <w:color w:val="000000" w:themeColor="text1"/>
          <w:szCs w:val="22"/>
        </w:rPr>
        <w:t xml:space="preserve">prima facie </w:t>
      </w:r>
      <w:r w:rsidR="00533DA4">
        <w:rPr>
          <w:bCs/>
          <w:color w:val="000000" w:themeColor="text1"/>
          <w:szCs w:val="22"/>
        </w:rPr>
        <w:t xml:space="preserve">and </w:t>
      </w:r>
      <w:r w:rsidR="00533DA4" w:rsidRPr="0075321D">
        <w:rPr>
          <w:bCs/>
          <w:color w:val="000000" w:themeColor="text1"/>
          <w:szCs w:val="22"/>
        </w:rPr>
        <w:t>substantial case, that party will prevail unless its case is discredited or rebutted</w:t>
      </w:r>
      <w:r w:rsidR="005D0398">
        <w:rPr>
          <w:bCs/>
          <w:color w:val="000000" w:themeColor="text1"/>
          <w:szCs w:val="22"/>
        </w:rPr>
        <w:t xml:space="preserve">.  </w:t>
      </w:r>
      <w:r>
        <w:rPr>
          <w:i/>
        </w:rPr>
        <w:t xml:space="preserve">See Steadman v. SEC, </w:t>
      </w:r>
      <w:r>
        <w:t xml:space="preserve">450 U.S. 91, 101 (1981).  </w:t>
      </w:r>
    </w:p>
  </w:footnote>
  <w:footnote w:id="56">
    <w:p w:rsidR="00CD1B5A" w:rsidRPr="00F045B0" w:rsidRDefault="00CD1B5A" w:rsidP="002301B4">
      <w:pPr>
        <w:pStyle w:val="FootnoteText"/>
        <w:widowControl w:val="0"/>
      </w:pPr>
      <w:r>
        <w:rPr>
          <w:rStyle w:val="FootnoteReference"/>
        </w:rPr>
        <w:footnoteRef/>
      </w:r>
      <w:r>
        <w:t xml:space="preserve"> This treatment is </w:t>
      </w:r>
      <w:r w:rsidR="00AA7CAB">
        <w:t>consistent with the fact that t</w:t>
      </w:r>
      <w:r w:rsidR="00AA7CAB">
        <w:rPr>
          <w:bCs/>
          <w:color w:val="000000" w:themeColor="text1"/>
          <w:szCs w:val="22"/>
        </w:rPr>
        <w:t xml:space="preserve">he licensee is necessarily in a better position to provide evidence of his or her rehabilitation than the licensing authority is to provide evidence of his or her non-rehabilitation. In this case, for example, Titus presented testimony from his psychiatrist and several character witnesses. It is also </w:t>
      </w:r>
      <w:r>
        <w:t xml:space="preserve">consistent with the burden </w:t>
      </w:r>
      <w:r w:rsidR="00AA7CAB">
        <w:t xml:space="preserve">to prove rehabilitation </w:t>
      </w:r>
      <w:r>
        <w:t xml:space="preserve">in </w:t>
      </w:r>
      <w:r w:rsidR="00AA7CAB">
        <w:t xml:space="preserve">numerous </w:t>
      </w:r>
      <w:r>
        <w:t xml:space="preserve">other licensing contexts.  For example, in a moral character proceeding before the California State Bar, an applicant for a law license “must first establish a prima facie case that he or she possessed good moral character; the State Bar may then rebut that showing with evidence of bad moral character”; and “[i]f it does so, the burden then shifts back to the applicant to demonstrate his or her rehabilitation.”  </w:t>
      </w:r>
      <w:r>
        <w:rPr>
          <w:i/>
        </w:rPr>
        <w:t xml:space="preserve">In re Joseph </w:t>
      </w:r>
      <w:r w:rsidRPr="0054462A">
        <w:rPr>
          <w:i/>
        </w:rPr>
        <w:t>Menna</w:t>
      </w:r>
      <w:r>
        <w:t xml:space="preserve">, 905 P.2d 975, 984 (Cal. 1995); </w:t>
      </w:r>
      <w:r>
        <w:rPr>
          <w:i/>
        </w:rPr>
        <w:t>see also In re The Matter of the Application of Donald D. Nash for Reinstatement as an Active Member of the Oregon State Bar</w:t>
      </w:r>
      <w:r>
        <w:t xml:space="preserve">, 855 P.2d 1112, 1113 (Or. 1993) (holding that an attorney seeking reinstatement after being disbarred for sodomizing a former client’s six-year-old child “has the ultimate burden of proof to establish good moral character”); </w:t>
      </w:r>
      <w:r>
        <w:rPr>
          <w:i/>
        </w:rPr>
        <w:t>Daly v. The Mississippi Bar</w:t>
      </w:r>
      <w:r>
        <w:t xml:space="preserve">, </w:t>
      </w:r>
      <w:r w:rsidRPr="00F045B0">
        <w:t>83 So.3d 1262</w:t>
      </w:r>
      <w:r>
        <w:t>, 1266 (Miss. 2011) (“</w:t>
      </w:r>
      <w:r w:rsidRPr="00797FC4">
        <w:t>The attorney petitioning for reinstatement has the burden to prove by clear and convincing evidence that he has rehabilitated himself and possesses the requisite moral character to entitle him to reinstatement to the practice of law.</w:t>
      </w:r>
      <w:r>
        <w:t>”).</w:t>
      </w:r>
    </w:p>
  </w:footnote>
  <w:footnote w:id="57">
    <w:p w:rsidR="00CD1B5A" w:rsidRPr="0051597B" w:rsidRDefault="00CD1B5A" w:rsidP="002301B4">
      <w:pPr>
        <w:pStyle w:val="FootnoteText"/>
        <w:widowControl w:val="0"/>
      </w:pPr>
      <w:r>
        <w:rPr>
          <w:rStyle w:val="FootnoteReference"/>
        </w:rPr>
        <w:footnoteRef/>
      </w:r>
      <w:r>
        <w:t xml:space="preserve"> </w:t>
      </w:r>
      <w:r>
        <w:rPr>
          <w:i/>
        </w:rPr>
        <w:t xml:space="preserve">See </w:t>
      </w:r>
      <w:r>
        <w:t>Initial Decision, 25 FCC Rcd at 2398 ¶ 22.</w:t>
      </w:r>
    </w:p>
  </w:footnote>
  <w:footnote w:id="58">
    <w:p w:rsidR="00CD1B5A" w:rsidRPr="00F425E1" w:rsidRDefault="00CD1B5A" w:rsidP="002301B4">
      <w:pPr>
        <w:pStyle w:val="FootnoteText"/>
        <w:widowControl w:val="0"/>
      </w:pPr>
      <w:r>
        <w:rPr>
          <w:rStyle w:val="FootnoteReference"/>
        </w:rPr>
        <w:footnoteRef/>
      </w:r>
      <w:r>
        <w:t xml:space="preserve"> </w:t>
      </w:r>
      <w:r>
        <w:rPr>
          <w:i/>
        </w:rPr>
        <w:t xml:space="preserve">See </w:t>
      </w:r>
      <w:r>
        <w:t xml:space="preserve">EB Exh. 2 at 5.  Detective Shilling testified that the facts probably warranted giving Titus a Level 3 (high risk) classification, but that the committee recognized that risk assessment was relatively new in Washington.  </w:t>
      </w:r>
      <w:r>
        <w:rPr>
          <w:i/>
        </w:rPr>
        <w:t xml:space="preserve">See </w:t>
      </w:r>
      <w:r>
        <w:t xml:space="preserve">Tr. at 709.  In this regard, the record contains a “Treatment Summary,” dated October 10, 1994 (shortly before Titus’s release), prepared by officials of the Sex Offender Treatment Program, Twin Rivers Correction Center, which concludes that Titus was a high risk to reoffend both sexually and violently.  </w:t>
      </w:r>
      <w:r>
        <w:rPr>
          <w:i/>
        </w:rPr>
        <w:t xml:space="preserve">See </w:t>
      </w:r>
      <w:r>
        <w:t>EB Exh. 4 at 27.   Detective Shilling testified that the treatment summary was part of the “totality of the circumstances” he examined.  See Tr. at 943.</w:t>
      </w:r>
    </w:p>
  </w:footnote>
  <w:footnote w:id="59">
    <w:p w:rsidR="00CD1B5A" w:rsidRPr="00F93E8D" w:rsidRDefault="00CD1B5A" w:rsidP="002301B4">
      <w:pPr>
        <w:pStyle w:val="FootnoteText"/>
        <w:widowControl w:val="0"/>
      </w:pPr>
      <w:r>
        <w:rPr>
          <w:rStyle w:val="FootnoteReference"/>
        </w:rPr>
        <w:footnoteRef/>
      </w:r>
      <w:r>
        <w:t xml:space="preserve"> </w:t>
      </w:r>
      <w:r>
        <w:rPr>
          <w:i/>
        </w:rPr>
        <w:t xml:space="preserve">See </w:t>
      </w:r>
      <w:r>
        <w:t xml:space="preserve">EB Exh. 5.  This action was based on the incidents discussed </w:t>
      </w:r>
      <w:r>
        <w:rPr>
          <w:i/>
        </w:rPr>
        <w:t xml:space="preserve">supra </w:t>
      </w:r>
      <w:r>
        <w:t xml:space="preserve">at paragraph 4.  </w:t>
      </w:r>
    </w:p>
  </w:footnote>
  <w:footnote w:id="60">
    <w:p w:rsidR="00CD1B5A" w:rsidRPr="00E87CE7" w:rsidRDefault="00CD1B5A" w:rsidP="002301B4">
      <w:pPr>
        <w:pStyle w:val="FootnoteText"/>
        <w:widowControl w:val="0"/>
      </w:pPr>
      <w:r>
        <w:rPr>
          <w:rStyle w:val="FootnoteReference"/>
        </w:rPr>
        <w:footnoteRef/>
      </w:r>
      <w:r>
        <w:t xml:space="preserve"> 10 FCC Rcd 9954, 9959 ¶ 22 (1995).  </w:t>
      </w:r>
    </w:p>
  </w:footnote>
  <w:footnote w:id="61">
    <w:p w:rsidR="00CD1B5A" w:rsidRDefault="00CD1B5A" w:rsidP="002301B4">
      <w:pPr>
        <w:pStyle w:val="FootnoteText"/>
        <w:widowControl w:val="0"/>
      </w:pPr>
      <w:r>
        <w:rPr>
          <w:rStyle w:val="FootnoteReference"/>
        </w:rPr>
        <w:footnoteRef/>
      </w:r>
      <w:r>
        <w:t xml:space="preserve"> </w:t>
      </w:r>
      <w:r>
        <w:rPr>
          <w:i/>
        </w:rPr>
        <w:t xml:space="preserve">See Smith v. Doe, </w:t>
      </w:r>
      <w:r>
        <w:t xml:space="preserve">538 U.S. 84, 93 (2003) (recognizing the risk of re-offense and protecting the public from sex offenders as a “primary governmental interest” in upholding the Alaska registration law); Matthew S. Miner, </w:t>
      </w:r>
      <w:r>
        <w:rPr>
          <w:i/>
        </w:rPr>
        <w:t xml:space="preserve">The Adam Walsh Act’s Sex Offender Registration and Notification Requirements and the Commerce Cause: A Defense of Congress’ Power to Check the Interstate Movement of Unregistered Sex Offenders. </w:t>
      </w:r>
      <w:r>
        <w:t xml:space="preserve">56 Vil. L. Rev. 51, 60 (2011) (explaining that the push for sex offender registration registries was driven by acknowledgement that sex offenders will often commit further sex crimes after their release); Center for Sex Offender Management, </w:t>
      </w:r>
      <w:r>
        <w:rPr>
          <w:i/>
        </w:rPr>
        <w:t xml:space="preserve">Enhancing the Management of Adult and Juvenile Sex Offenders: A Handbook for Policymakers and Practitioners </w:t>
      </w:r>
      <w:r w:rsidRPr="00584D8C">
        <w:t>5 (2007) (</w:t>
      </w:r>
      <w:r>
        <w:t xml:space="preserve">explaining that the management of sex offenders is of critical importance because of the “potentially volatile community responses to sex offenders” and the “irrefutable harm” that re-offense would cause potential victims).  In terms of the impact of the presence of sex offenders in the community, it has been recognized that sex offenses may be distinguishable from other crimes because of their distinctive psychological effect on potential and actual victims.  </w:t>
      </w:r>
      <w:r>
        <w:rPr>
          <w:i/>
        </w:rPr>
        <w:t xml:space="preserve">See </w:t>
      </w:r>
      <w:r w:rsidRPr="00BF336F">
        <w:t xml:space="preserve">Roxanne Lieb, Vernon Quinsey, Lucy Berliner, </w:t>
      </w:r>
      <w:r>
        <w:rPr>
          <w:i/>
        </w:rPr>
        <w:t xml:space="preserve">Sexual Predators and Social Policy, </w:t>
      </w:r>
      <w:r>
        <w:t>23 Crime &amp; Just. 43, 48 (1998).</w:t>
      </w:r>
    </w:p>
  </w:footnote>
  <w:footnote w:id="62">
    <w:p w:rsidR="00CD1B5A" w:rsidRPr="000B324E" w:rsidRDefault="00CD1B5A" w:rsidP="002301B4">
      <w:pPr>
        <w:pStyle w:val="FootnoteText"/>
        <w:widowControl w:val="0"/>
      </w:pPr>
      <w:r>
        <w:rPr>
          <w:rStyle w:val="FootnoteReference"/>
        </w:rPr>
        <w:footnoteRef/>
      </w:r>
      <w:r>
        <w:t xml:space="preserve"> </w:t>
      </w:r>
      <w:r>
        <w:rPr>
          <w:i/>
        </w:rPr>
        <w:t xml:space="preserve">See, </w:t>
      </w:r>
      <w:r>
        <w:t xml:space="preserve">Center for Sex Offender Management, </w:t>
      </w:r>
      <w:r>
        <w:rPr>
          <w:i/>
        </w:rPr>
        <w:t xml:space="preserve">The Comprehensive Assessment Protocol: A Systemwide Review of Adult and Juvenile Sex Offender Strategies </w:t>
      </w:r>
      <w:r>
        <w:t>(Jul. 2007) (</w:t>
      </w:r>
      <w:r w:rsidRPr="00AE29F4">
        <w:rPr>
          <w:i/>
        </w:rPr>
        <w:t>Assessment</w:t>
      </w:r>
      <w:r>
        <w:t xml:space="preserve">).  Detective Shilling was a contributor to this project, sponsored by the U.S. Department of Justice.  </w:t>
      </w:r>
      <w:r>
        <w:rPr>
          <w:i/>
        </w:rPr>
        <w:t xml:space="preserve">See id. </w:t>
      </w:r>
      <w:r>
        <w:t>at 6.</w:t>
      </w:r>
    </w:p>
  </w:footnote>
  <w:footnote w:id="63">
    <w:p w:rsidR="00CD1B5A" w:rsidRPr="00BF336F" w:rsidRDefault="00CD1B5A" w:rsidP="002301B4">
      <w:pPr>
        <w:pStyle w:val="FootnoteText"/>
        <w:widowControl w:val="0"/>
        <w:rPr>
          <w:i/>
        </w:rPr>
      </w:pPr>
      <w:r>
        <w:rPr>
          <w:rStyle w:val="FootnoteReference"/>
        </w:rPr>
        <w:footnoteRef/>
      </w:r>
      <w:r>
        <w:t xml:space="preserve"> </w:t>
      </w:r>
      <w:r>
        <w:rPr>
          <w:i/>
        </w:rPr>
        <w:t xml:space="preserve">See Assessment </w:t>
      </w:r>
      <w:r>
        <w:t xml:space="preserve">at 20 (recognizing that sex offender management is a highly specialized area requiring specialized knowledge about sex offenders, victims, and effective interventions); </w:t>
      </w:r>
      <w:r>
        <w:rPr>
          <w:i/>
        </w:rPr>
        <w:t xml:space="preserve">id. </w:t>
      </w:r>
      <w:r w:rsidRPr="005D0BCD">
        <w:t>a</w:t>
      </w:r>
      <w:r w:rsidRPr="00F10770">
        <w:t>t 7</w:t>
      </w:r>
      <w:r>
        <w:t>5 (recognizing that, because of the diversity of offenders, a “one size fits all” approach is not appropriate and that careful consideration of varied levels of risk, needs, development, and functioning of individuals is needed to determine what to do with particular offenders).</w:t>
      </w:r>
    </w:p>
  </w:footnote>
  <w:footnote w:id="64">
    <w:p w:rsidR="00CD1B5A" w:rsidRPr="00293266" w:rsidRDefault="00CD1B5A" w:rsidP="002301B4">
      <w:pPr>
        <w:pStyle w:val="FootnoteText"/>
        <w:widowControl w:val="0"/>
      </w:pPr>
      <w:r>
        <w:rPr>
          <w:rStyle w:val="FootnoteReference"/>
        </w:rPr>
        <w:footnoteRef/>
      </w:r>
      <w:r>
        <w:t xml:space="preserve"> </w:t>
      </w:r>
      <w:r>
        <w:rPr>
          <w:i/>
        </w:rPr>
        <w:t xml:space="preserve">See </w:t>
      </w:r>
      <w:r>
        <w:t xml:space="preserve">Initial Decision, 22 FCC Rcd at 2400-01 ¶¶ 29-32.  For example, the ALJ </w:t>
      </w:r>
      <w:r>
        <w:rPr>
          <w:bCs/>
          <w:color w:val="000000" w:themeColor="text1"/>
          <w:szCs w:val="22"/>
        </w:rPr>
        <w:t xml:space="preserve">had no authority to second guess the state’s classification of Titus as a level 3 offender by questioning </w:t>
      </w:r>
      <w:r w:rsidRPr="0075321D">
        <w:rPr>
          <w:bCs/>
          <w:color w:val="000000" w:themeColor="text1"/>
          <w:szCs w:val="22"/>
        </w:rPr>
        <w:t>Det</w:t>
      </w:r>
      <w:r>
        <w:rPr>
          <w:bCs/>
          <w:color w:val="000000" w:themeColor="text1"/>
          <w:szCs w:val="22"/>
        </w:rPr>
        <w:t>ective</w:t>
      </w:r>
      <w:r w:rsidRPr="0075321D">
        <w:rPr>
          <w:bCs/>
          <w:color w:val="000000" w:themeColor="text1"/>
          <w:szCs w:val="22"/>
        </w:rPr>
        <w:t xml:space="preserve"> Shilling’s reliance on the </w:t>
      </w:r>
      <w:r>
        <w:rPr>
          <w:bCs/>
          <w:color w:val="000000" w:themeColor="text1"/>
          <w:szCs w:val="22"/>
        </w:rPr>
        <w:t xml:space="preserve">so-called </w:t>
      </w:r>
      <w:r w:rsidRPr="0075321D">
        <w:rPr>
          <w:bCs/>
          <w:color w:val="000000" w:themeColor="text1"/>
          <w:szCs w:val="22"/>
        </w:rPr>
        <w:t>WASOST inventory.</w:t>
      </w:r>
      <w:r>
        <w:rPr>
          <w:bCs/>
          <w:color w:val="000000" w:themeColor="text1"/>
          <w:szCs w:val="22"/>
        </w:rPr>
        <w:t xml:space="preserve"> According </w:t>
      </w:r>
      <w:r>
        <w:t>to the ALJ, the WASOST is flawed because it is untimely</w:t>
      </w:r>
      <w:r w:rsidR="0007339C">
        <w:t>—</w:t>
      </w:r>
      <w:r>
        <w:rPr>
          <w:i/>
        </w:rPr>
        <w:t xml:space="preserve">i.e., </w:t>
      </w:r>
      <w:r>
        <w:t xml:space="preserve">it does not consider a convicted sex offender’s offense-free time in the community.  </w:t>
      </w:r>
      <w:r>
        <w:rPr>
          <w:i/>
        </w:rPr>
        <w:t xml:space="preserve">See </w:t>
      </w:r>
      <w:r>
        <w:t xml:space="preserve">Initial Decision, 25 FCC Rcd at 2395 ¶ 12 (stating that a “WASOST score has little accuracy in predicting recidivism” and was wrongfully used to upgrade Mr. Titus to Level 3 ‘high risk’”); </w:t>
      </w:r>
      <w:r>
        <w:rPr>
          <w:i/>
        </w:rPr>
        <w:t xml:space="preserve">id. </w:t>
      </w:r>
      <w:r>
        <w:t xml:space="preserve">at 2401 ¶ 29 (describing the WASOST as “a non-probative, defective test”).   In so finding, the ALJ attacked the tool that the State of Washington uses to classify </w:t>
      </w:r>
      <w:r>
        <w:rPr>
          <w:i/>
        </w:rPr>
        <w:t xml:space="preserve">all </w:t>
      </w:r>
      <w:r>
        <w:t xml:space="preserve">sex offenders, not just Titus.  </w:t>
      </w:r>
      <w:r>
        <w:rPr>
          <w:i/>
        </w:rPr>
        <w:t xml:space="preserve">See </w:t>
      </w:r>
      <w:r w:rsidRPr="003570ED">
        <w:rPr>
          <w:i/>
        </w:rPr>
        <w:t>id.</w:t>
      </w:r>
      <w:r>
        <w:t xml:space="preserve"> at 2401 ¶ 29 (quoting Detective Shillings’</w:t>
      </w:r>
      <w:r w:rsidRPr="003570ED">
        <w:t xml:space="preserve"> testimony that state law requires use of the WASOST).  </w:t>
      </w:r>
      <w:r>
        <w:t>The ALJ’s independent assessment of the State of Washington’s system for classifying sex offenders is contrary to the Commission’s policy of deferring to local authorities on law enforcement matters</w:t>
      </w:r>
      <w:r w:rsidR="0007339C">
        <w:t>—</w:t>
      </w:r>
      <w:r>
        <w:t xml:space="preserve">particularly in cases like this one, where the ALJ (and the Commission) have no specific expertise regarding sex offenders and recidivism.  </w:t>
      </w:r>
    </w:p>
  </w:footnote>
  <w:footnote w:id="65">
    <w:p w:rsidR="00CD1B5A" w:rsidRDefault="00CD1B5A" w:rsidP="002301B4">
      <w:pPr>
        <w:pStyle w:val="FootnoteText"/>
        <w:widowControl w:val="0"/>
      </w:pPr>
      <w:r>
        <w:rPr>
          <w:rStyle w:val="FootnoteReference"/>
        </w:rPr>
        <w:footnoteRef/>
      </w:r>
      <w:r>
        <w:t xml:space="preserve"> Our analysis, however, would not differ significantly if Titus were judged a Level 2 offender rather than a Level 3 offender.  </w:t>
      </w:r>
    </w:p>
  </w:footnote>
  <w:footnote w:id="66">
    <w:p w:rsidR="00CD1B5A" w:rsidRPr="00AF5B7E" w:rsidRDefault="00CD1B5A" w:rsidP="00EB1386">
      <w:pPr>
        <w:pStyle w:val="FootnoteText"/>
        <w:widowControl w:val="0"/>
      </w:pPr>
      <w:r>
        <w:rPr>
          <w:rStyle w:val="FootnoteReference"/>
        </w:rPr>
        <w:footnoteRef/>
      </w:r>
      <w:r>
        <w:t xml:space="preserve"> </w:t>
      </w:r>
      <w:r w:rsidRPr="00C429FE">
        <w:rPr>
          <w:i/>
        </w:rPr>
        <w:t xml:space="preserve">See </w:t>
      </w:r>
      <w:r w:rsidRPr="00C429FE">
        <w:t xml:space="preserve">Exceptions at 12. </w:t>
      </w:r>
      <w:r>
        <w:t xml:space="preserve"> </w:t>
      </w:r>
      <w:r w:rsidRPr="00C429FE">
        <w:t xml:space="preserve">The statement in the </w:t>
      </w:r>
      <w:r w:rsidRPr="00C429FE">
        <w:rPr>
          <w:i/>
        </w:rPr>
        <w:t xml:space="preserve">1990 Policy Statement </w:t>
      </w:r>
      <w:r w:rsidRPr="00C429FE">
        <w:t xml:space="preserve">that we will “refrain from making licensing decisions based on mere allegations of relevant non-FCC misconduct, even where those allegations have resulted in an indictment or are otherwise in the process of being adjudicated,” </w:t>
      </w:r>
      <w:r w:rsidRPr="00C429FE">
        <w:rPr>
          <w:i/>
        </w:rPr>
        <w:t>1990 Policy Statement</w:t>
      </w:r>
      <w:r w:rsidRPr="00C429FE">
        <w:t>,</w:t>
      </w:r>
      <w:r w:rsidRPr="00C429FE">
        <w:rPr>
          <w:i/>
        </w:rPr>
        <w:t xml:space="preserve"> </w:t>
      </w:r>
      <w:r w:rsidRPr="00C429FE">
        <w:t xml:space="preserve">5 FCC Rcd at 3252, is not to the contrary. Although the 2002 and 2004 occurrences are not independent bases for making the Commission’s licensing decision here, the State of Washington’s classification of Titus as a high-risk sex offender is relevant (in particular to Titus’s assertion that he has been rehabilitated), and is appropriately considered. </w:t>
      </w:r>
      <w:r w:rsidRPr="00C429FE">
        <w:rPr>
          <w:bCs/>
          <w:color w:val="000000" w:themeColor="text1"/>
        </w:rPr>
        <w:t>We also take administrative notice of the fact that in September 2008, Titus petitioned the Superior Court of Benton County to lift the requirement that he register as a sex offender and to reinstate his civil rights.  After hearing, the presiding judge refused to lift that requirement.</w:t>
      </w:r>
      <w:r w:rsidRPr="00C429FE">
        <w:rPr>
          <w:i/>
        </w:rPr>
        <w:t xml:space="preserve"> See</w:t>
      </w:r>
      <w:r w:rsidRPr="00C429FE">
        <w:t xml:space="preserve"> Exceptions at 22 n.118; Order, </w:t>
      </w:r>
      <w:r w:rsidRPr="00C429FE">
        <w:rPr>
          <w:i/>
        </w:rPr>
        <w:t>State v. Titus</w:t>
      </w:r>
      <w:r w:rsidRPr="00C429FE">
        <w:t xml:space="preserve">, Benton No. 93-1-00035-2 (Sept. 8, 2008) (official notice taken).  </w:t>
      </w:r>
      <w:r w:rsidRPr="00C429FE">
        <w:rPr>
          <w:bCs/>
          <w:color w:val="000000" w:themeColor="text1"/>
        </w:rPr>
        <w:t>This decision expresses the State’s continuing judgment, after a full airing of the evidence, that Titus should still be deemed a risk to the community.   We see no reason to substitute our judgment for the State’s.</w:t>
      </w:r>
      <w:r w:rsidRPr="00AF5B7E">
        <w:rPr>
          <w:bCs/>
          <w:color w:val="000000" w:themeColor="text1"/>
          <w:szCs w:val="22"/>
        </w:rPr>
        <w:t xml:space="preserve"> </w:t>
      </w:r>
    </w:p>
  </w:footnote>
  <w:footnote w:id="67">
    <w:p w:rsidR="00CD1B5A" w:rsidRPr="00E02D78" w:rsidRDefault="00CD1B5A" w:rsidP="005E1E1A">
      <w:pPr>
        <w:pStyle w:val="FootnoteText"/>
        <w:widowControl w:val="0"/>
        <w:rPr>
          <w:b/>
        </w:rPr>
      </w:pPr>
      <w:r>
        <w:rPr>
          <w:rStyle w:val="FootnoteReference"/>
        </w:rPr>
        <w:footnoteRef/>
      </w:r>
      <w:r>
        <w:t xml:space="preserve"> Titus’s conviction was in 1993.  He received his amateur radio license in 1989, when he was 14 years old.  </w:t>
      </w:r>
      <w:r>
        <w:rPr>
          <w:i/>
        </w:rPr>
        <w:t xml:space="preserve">See </w:t>
      </w:r>
      <w:r>
        <w:t xml:space="preserve">Titus Exh. 1.  His license was renewed in 1999.  </w:t>
      </w:r>
      <w:r>
        <w:rPr>
          <w:i/>
        </w:rPr>
        <w:t xml:space="preserve">See </w:t>
      </w:r>
      <w:r>
        <w:t>EB Exh. 1.</w:t>
      </w:r>
    </w:p>
  </w:footnote>
  <w:footnote w:id="68">
    <w:p w:rsidR="00CD1B5A" w:rsidRPr="00E02D78" w:rsidRDefault="00CD1B5A" w:rsidP="005E1E1A">
      <w:pPr>
        <w:pStyle w:val="FootnoteText"/>
        <w:widowControl w:val="0"/>
        <w:rPr>
          <w:b/>
        </w:rPr>
      </w:pPr>
      <w:r>
        <w:rPr>
          <w:rStyle w:val="FootnoteReference"/>
        </w:rPr>
        <w:footnoteRef/>
      </w:r>
      <w:r>
        <w:t xml:space="preserve"> </w:t>
      </w:r>
      <w:r>
        <w:rPr>
          <w:i/>
        </w:rPr>
        <w:t xml:space="preserve">See </w:t>
      </w:r>
      <w:r>
        <w:t>Titus Exh. 2; Tr. at 959, 965, 1019-20, 1041-42.</w:t>
      </w:r>
    </w:p>
  </w:footnote>
  <w:footnote w:id="69">
    <w:p w:rsidR="00CD1B5A" w:rsidRPr="00E02D78" w:rsidRDefault="00CD1B5A" w:rsidP="005E1E1A">
      <w:pPr>
        <w:pStyle w:val="FootnoteText"/>
        <w:widowControl w:val="0"/>
        <w:rPr>
          <w:b/>
        </w:rPr>
      </w:pPr>
      <w:r>
        <w:rPr>
          <w:rStyle w:val="FootnoteReference"/>
        </w:rPr>
        <w:footnoteRef/>
      </w:r>
      <w:r>
        <w:t xml:space="preserve"> </w:t>
      </w:r>
      <w:r>
        <w:rPr>
          <w:i/>
        </w:rPr>
        <w:t xml:space="preserve">See </w:t>
      </w:r>
      <w:r>
        <w:t xml:space="preserve">Titus Exh. 3-13.  </w:t>
      </w:r>
    </w:p>
  </w:footnote>
  <w:footnote w:id="70">
    <w:p w:rsidR="00CD1B5A" w:rsidRPr="002E2504" w:rsidRDefault="00CD1B5A" w:rsidP="005E1E1A">
      <w:pPr>
        <w:pStyle w:val="FootnoteText"/>
        <w:widowControl w:val="0"/>
        <w:rPr>
          <w:b/>
          <w:i/>
        </w:rPr>
      </w:pPr>
      <w:r>
        <w:rPr>
          <w:rStyle w:val="FootnoteReference"/>
        </w:rPr>
        <w:footnoteRef/>
      </w:r>
      <w:r>
        <w:t xml:space="preserve"> The ALJ credited Titus’ testimony that he had no sexual contact with a minor since he was charged with a felony, that he was no longer sexually attracted to children, that he knows he harmed his victims, that he regrets his past conduct, and that he knows about appropriate relationships and boundaries.  </w:t>
      </w:r>
      <w:r>
        <w:rPr>
          <w:i/>
        </w:rPr>
        <w:t xml:space="preserve">See </w:t>
      </w:r>
      <w:r>
        <w:t xml:space="preserve">Initial Decision </w:t>
      </w:r>
      <w:r w:rsidRPr="003108F4">
        <w:t xml:space="preserve">at 2395 ¶ </w:t>
      </w:r>
      <w:r>
        <w:t>14, 2401 ¶ 33</w:t>
      </w:r>
      <w:r w:rsidRPr="003108F4">
        <w:t>.</w:t>
      </w:r>
    </w:p>
  </w:footnote>
  <w:footnote w:id="71">
    <w:p w:rsidR="00CD1B5A" w:rsidRPr="001D36CD" w:rsidRDefault="00CD1B5A" w:rsidP="005E1E1A">
      <w:pPr>
        <w:pStyle w:val="FootnoteText"/>
        <w:widowControl w:val="0"/>
      </w:pPr>
      <w:r w:rsidRPr="001D36CD">
        <w:rPr>
          <w:rStyle w:val="FootnoteReference"/>
        </w:rPr>
        <w:footnoteRef/>
      </w:r>
      <w:r w:rsidRPr="001D36CD">
        <w:t xml:space="preserve"> We note that</w:t>
      </w:r>
      <w:r>
        <w:t xml:space="preserve"> the Commission has in the past deferred to a state’s finding that a licensee </w:t>
      </w:r>
      <w:r w:rsidRPr="005E1E1A">
        <w:rPr>
          <w:i/>
        </w:rPr>
        <w:t>has</w:t>
      </w:r>
      <w:r>
        <w:t xml:space="preserve"> been rehabilitated.</w:t>
      </w:r>
      <w:r w:rsidRPr="001D36CD">
        <w:t xml:space="preserve">  </w:t>
      </w:r>
      <w:r>
        <w:rPr>
          <w:i/>
        </w:rPr>
        <w:t>See</w:t>
      </w:r>
      <w:r w:rsidRPr="001D36CD">
        <w:t xml:space="preserve"> </w:t>
      </w:r>
      <w:r>
        <w:rPr>
          <w:i/>
        </w:rPr>
        <w:t xml:space="preserve">Richard Richards, </w:t>
      </w:r>
      <w:r>
        <w:t xml:space="preserve">77 Rad. Reg. 2d (P&amp;F) 1282, 1282 ¶ 2, 1289 ¶ 28 (Rev. Bd. 1995) </w:t>
      </w:r>
      <w:r w:rsidRPr="001D36CD">
        <w:t xml:space="preserve"> (</w:t>
      </w:r>
      <w:r>
        <w:t xml:space="preserve">reversing </w:t>
      </w:r>
      <w:r w:rsidRPr="001D36CD">
        <w:t xml:space="preserve">ALJ </w:t>
      </w:r>
      <w:r>
        <w:t xml:space="preserve">holding </w:t>
      </w:r>
      <w:r w:rsidRPr="001D36CD">
        <w:t>that</w:t>
      </w:r>
      <w:r>
        <w:t xml:space="preserve"> applicant convicted of possession of marijuana </w:t>
      </w:r>
      <w:r w:rsidRPr="001D36CD">
        <w:t>not qualified to hold license</w:t>
      </w:r>
      <w:r>
        <w:t>,</w:t>
      </w:r>
      <w:r w:rsidRPr="001D36CD">
        <w:t xml:space="preserve"> </w:t>
      </w:r>
      <w:r>
        <w:t xml:space="preserve">finding significant, among other factors, that </w:t>
      </w:r>
      <w:r w:rsidRPr="001D36CD">
        <w:t xml:space="preserve">federal court found that plea agreement was not intended to affect defendant's ability to apply for receive federal benefits, including an FCC license); </w:t>
      </w:r>
      <w:r>
        <w:rPr>
          <w:i/>
        </w:rPr>
        <w:t xml:space="preserve">Swan Broadcasting Ltd., </w:t>
      </w:r>
      <w:r>
        <w:t xml:space="preserve">6 FCC Rcd 17, 22 ¶ 23 (Rev. Bd. 1991) (granting application where applicant’s principal, who had pled guilty to manslaughter, had received a full pardon from the state); </w:t>
      </w:r>
      <w:r>
        <w:rPr>
          <w:i/>
        </w:rPr>
        <w:t xml:space="preserve">Alessandro Broadcasting Co., </w:t>
      </w:r>
      <w:r>
        <w:t>99 FCC 2d 12, 23 ¶ 33 (ALJ 1984) (applicant</w:t>
      </w:r>
      <w:r w:rsidRPr="001D36CD">
        <w:t xml:space="preserve"> who committed second degree murder qualified to hold license where </w:t>
      </w:r>
      <w:r>
        <w:t xml:space="preserve">court </w:t>
      </w:r>
      <w:r w:rsidRPr="001D36CD">
        <w:t>reinstated his civil rights</w:t>
      </w:r>
      <w:r>
        <w:t xml:space="preserve"> and recommended a pardon</w:t>
      </w:r>
      <w:r w:rsidRPr="001D36CD">
        <w:t>).</w:t>
      </w:r>
      <w:r>
        <w:t xml:space="preserve"> </w:t>
      </w:r>
      <w:r w:rsidR="00762FEE">
        <w:t xml:space="preserve"> </w:t>
      </w:r>
      <w:r>
        <w:t xml:space="preserve">It is entirely appropriate, then, to give similarly weight to a state’s determination that a licensee has </w:t>
      </w:r>
      <w:r w:rsidRPr="005E1E1A">
        <w:rPr>
          <w:i/>
        </w:rPr>
        <w:t>not</w:t>
      </w:r>
      <w:r>
        <w:t xml:space="preserve"> been rehabilitated.</w:t>
      </w:r>
    </w:p>
  </w:footnote>
  <w:footnote w:id="72">
    <w:p w:rsidR="00CD1B5A" w:rsidRPr="00F0169A" w:rsidRDefault="00CD1B5A" w:rsidP="005E1E1A">
      <w:pPr>
        <w:pStyle w:val="FootnoteText"/>
        <w:widowControl w:val="0"/>
      </w:pPr>
      <w:r>
        <w:rPr>
          <w:rStyle w:val="FootnoteReference"/>
        </w:rPr>
        <w:footnoteRef/>
      </w:r>
      <w:r>
        <w:t xml:space="preserve">  See notes </w:t>
      </w:r>
      <w:r w:rsidR="00925103">
        <w:t>44, 46</w:t>
      </w:r>
      <w:r>
        <w:t xml:space="preserve">, </w:t>
      </w:r>
      <w:r>
        <w:rPr>
          <w:i/>
        </w:rPr>
        <w:t>supra.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1B7" w:rsidRDefault="00AC61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B5A" w:rsidRDefault="00CD1B5A" w:rsidP="00F971FC">
    <w:pPr>
      <w:pStyle w:val="Header"/>
      <w:jc w:val="center"/>
      <w:rPr>
        <w:b w:val="0"/>
      </w:rPr>
    </w:pPr>
    <w:r>
      <w:tab/>
      <w:t>Federal Communications Commission</w:t>
    </w:r>
    <w:r>
      <w:tab/>
      <w:t>FCC 14-</w:t>
    </w:r>
    <w:r w:rsidR="00F52EA3">
      <w:t>177</w:t>
    </w:r>
    <w:r>
      <w:t xml:space="preserve"> </w:t>
    </w:r>
  </w:p>
  <w:p w:rsidR="00CD1B5A" w:rsidRDefault="00CD1B5A" w:rsidP="00F971FC">
    <w:pPr>
      <w:pStyle w:val="Header"/>
    </w:pPr>
    <w:r>
      <w:rPr>
        <w:noProof/>
      </w:rPr>
      <mc:AlternateContent>
        <mc:Choice Requires="wps">
          <w:drawing>
            <wp:anchor distT="0" distB="0" distL="114300" distR="114300" simplePos="0" relativeHeight="251658240" behindDoc="0" locked="0" layoutInCell="0" allowOverlap="1" wp14:anchorId="676AADBB" wp14:editId="0297C00B">
              <wp:simplePos x="0" y="0"/>
              <wp:positionH relativeFrom="column">
                <wp:posOffset>0</wp:posOffset>
              </wp:positionH>
              <wp:positionV relativeFrom="paragraph">
                <wp:posOffset>22225</wp:posOffset>
              </wp:positionV>
              <wp:extent cx="5943600" cy="0"/>
              <wp:effectExtent l="9525" t="12700" r="9525" b="1587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" o:allowincell="f" strokeweight="1.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B5A" w:rsidRDefault="00CD1B5A" w:rsidP="00F971FC">
    <w:pPr>
      <w:pStyle w:val="Header"/>
      <w:jc w:val="center"/>
      <w:rPr>
        <w:b w:val="0"/>
      </w:rPr>
    </w:pPr>
    <w:r>
      <w:tab/>
      <w:t>Federal Communications Commission</w:t>
    </w:r>
    <w:r>
      <w:tab/>
      <w:t>FCC 14-</w:t>
    </w:r>
    <w:r w:rsidR="00F52EA3">
      <w:t>177</w:t>
    </w:r>
  </w:p>
  <w:p w:rsidR="00CD1B5A" w:rsidRDefault="00CD1B5A" w:rsidP="00F971FC">
    <w:pPr>
      <w:pStyle w:val="Header"/>
    </w:pPr>
    <w:r>
      <w:rPr>
        <w:noProof/>
      </w:rPr>
      <mc:AlternateContent>
        <mc:Choice Requires="wps">
          <w:drawing>
            <wp:anchor distT="0" distB="0" distL="114300" distR="114300" simplePos="0" relativeHeight="251657216" behindDoc="0" locked="0" layoutInCell="0" allowOverlap="1" wp14:anchorId="12AF290F" wp14:editId="64C6EDBB">
              <wp:simplePos x="0" y="0"/>
              <wp:positionH relativeFrom="column">
                <wp:posOffset>0</wp:posOffset>
              </wp:positionH>
              <wp:positionV relativeFrom="paragraph">
                <wp:posOffset>22225</wp:posOffset>
              </wp:positionV>
              <wp:extent cx="5943600" cy="0"/>
              <wp:effectExtent l="9525" t="12700" r="9525" b="1587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hrmEg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" o:allowincell="f"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5"/>
  </w:num>
  <w:num w:numId="2">
    <w:abstractNumId w:val="3"/>
  </w:num>
  <w:num w:numId="3">
    <w:abstractNumId w:val="1"/>
  </w:num>
  <w:num w:numId="4">
    <w:abstractNumId w:val="4"/>
  </w:num>
  <w:num w:numId="5">
    <w:abstractNumId w:val="2"/>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ACB"/>
    <w:rsid w:val="00000CBF"/>
    <w:rsid w:val="00001662"/>
    <w:rsid w:val="000016D7"/>
    <w:rsid w:val="00001BF0"/>
    <w:rsid w:val="00003288"/>
    <w:rsid w:val="00003FC5"/>
    <w:rsid w:val="000068AA"/>
    <w:rsid w:val="00007104"/>
    <w:rsid w:val="00007193"/>
    <w:rsid w:val="00010482"/>
    <w:rsid w:val="00011916"/>
    <w:rsid w:val="00012D36"/>
    <w:rsid w:val="00013FE3"/>
    <w:rsid w:val="00014249"/>
    <w:rsid w:val="00014AF1"/>
    <w:rsid w:val="0001562A"/>
    <w:rsid w:val="0001645C"/>
    <w:rsid w:val="00016847"/>
    <w:rsid w:val="00016F3A"/>
    <w:rsid w:val="00017A1B"/>
    <w:rsid w:val="00017E4E"/>
    <w:rsid w:val="00017F86"/>
    <w:rsid w:val="00020B2A"/>
    <w:rsid w:val="000217CC"/>
    <w:rsid w:val="0002229A"/>
    <w:rsid w:val="00022315"/>
    <w:rsid w:val="00022B21"/>
    <w:rsid w:val="00024140"/>
    <w:rsid w:val="00026A7E"/>
    <w:rsid w:val="00030335"/>
    <w:rsid w:val="00030397"/>
    <w:rsid w:val="00031E35"/>
    <w:rsid w:val="00032903"/>
    <w:rsid w:val="00032E5A"/>
    <w:rsid w:val="00033C4E"/>
    <w:rsid w:val="00034C6D"/>
    <w:rsid w:val="0003522B"/>
    <w:rsid w:val="00035D67"/>
    <w:rsid w:val="00035FAB"/>
    <w:rsid w:val="00036365"/>
    <w:rsid w:val="00036418"/>
    <w:rsid w:val="00036559"/>
    <w:rsid w:val="0003779B"/>
    <w:rsid w:val="00037B1D"/>
    <w:rsid w:val="0004143A"/>
    <w:rsid w:val="00041FD2"/>
    <w:rsid w:val="00042B56"/>
    <w:rsid w:val="0004379B"/>
    <w:rsid w:val="00043D42"/>
    <w:rsid w:val="00043E7F"/>
    <w:rsid w:val="00044344"/>
    <w:rsid w:val="000446C2"/>
    <w:rsid w:val="000457D5"/>
    <w:rsid w:val="00047F0F"/>
    <w:rsid w:val="000502AA"/>
    <w:rsid w:val="00051779"/>
    <w:rsid w:val="00052263"/>
    <w:rsid w:val="00054EE4"/>
    <w:rsid w:val="00055E0B"/>
    <w:rsid w:val="0005639F"/>
    <w:rsid w:val="00056572"/>
    <w:rsid w:val="00057A80"/>
    <w:rsid w:val="0006057A"/>
    <w:rsid w:val="000609A3"/>
    <w:rsid w:val="000615B7"/>
    <w:rsid w:val="00062033"/>
    <w:rsid w:val="00062179"/>
    <w:rsid w:val="00062A38"/>
    <w:rsid w:val="0006483B"/>
    <w:rsid w:val="00065282"/>
    <w:rsid w:val="00065302"/>
    <w:rsid w:val="00065C3C"/>
    <w:rsid w:val="00065ED3"/>
    <w:rsid w:val="00066F28"/>
    <w:rsid w:val="00067348"/>
    <w:rsid w:val="00067938"/>
    <w:rsid w:val="00070041"/>
    <w:rsid w:val="00072F82"/>
    <w:rsid w:val="0007339C"/>
    <w:rsid w:val="00073DC3"/>
    <w:rsid w:val="00075700"/>
    <w:rsid w:val="000777CD"/>
    <w:rsid w:val="000809E5"/>
    <w:rsid w:val="00081E56"/>
    <w:rsid w:val="00083A3E"/>
    <w:rsid w:val="00083F41"/>
    <w:rsid w:val="00084301"/>
    <w:rsid w:val="000857C8"/>
    <w:rsid w:val="00086268"/>
    <w:rsid w:val="00090AD1"/>
    <w:rsid w:val="000915FD"/>
    <w:rsid w:val="000938B9"/>
    <w:rsid w:val="000938BE"/>
    <w:rsid w:val="00093D3F"/>
    <w:rsid w:val="000949D1"/>
    <w:rsid w:val="000957A9"/>
    <w:rsid w:val="00095BFC"/>
    <w:rsid w:val="00095D30"/>
    <w:rsid w:val="00096FC0"/>
    <w:rsid w:val="0009754B"/>
    <w:rsid w:val="000A01BA"/>
    <w:rsid w:val="000A047E"/>
    <w:rsid w:val="000A1371"/>
    <w:rsid w:val="000A2883"/>
    <w:rsid w:val="000A4A9C"/>
    <w:rsid w:val="000A60E8"/>
    <w:rsid w:val="000A6572"/>
    <w:rsid w:val="000A665C"/>
    <w:rsid w:val="000A69B3"/>
    <w:rsid w:val="000A6A71"/>
    <w:rsid w:val="000B2345"/>
    <w:rsid w:val="000B324E"/>
    <w:rsid w:val="000B42BA"/>
    <w:rsid w:val="000B52B0"/>
    <w:rsid w:val="000B7265"/>
    <w:rsid w:val="000B77A6"/>
    <w:rsid w:val="000B7CD8"/>
    <w:rsid w:val="000C103E"/>
    <w:rsid w:val="000C1116"/>
    <w:rsid w:val="000C1A8A"/>
    <w:rsid w:val="000C215D"/>
    <w:rsid w:val="000C336C"/>
    <w:rsid w:val="000C3C97"/>
    <w:rsid w:val="000C457A"/>
    <w:rsid w:val="000C4DBB"/>
    <w:rsid w:val="000C5176"/>
    <w:rsid w:val="000C6025"/>
    <w:rsid w:val="000C6684"/>
    <w:rsid w:val="000C7A22"/>
    <w:rsid w:val="000D1B83"/>
    <w:rsid w:val="000D1E00"/>
    <w:rsid w:val="000D2252"/>
    <w:rsid w:val="000D3715"/>
    <w:rsid w:val="000D374A"/>
    <w:rsid w:val="000D37E0"/>
    <w:rsid w:val="000D3E31"/>
    <w:rsid w:val="000D3FFA"/>
    <w:rsid w:val="000D49E8"/>
    <w:rsid w:val="000D4FAE"/>
    <w:rsid w:val="000D5776"/>
    <w:rsid w:val="000D653B"/>
    <w:rsid w:val="000D6B47"/>
    <w:rsid w:val="000D7CC5"/>
    <w:rsid w:val="000D7DC2"/>
    <w:rsid w:val="000E271C"/>
    <w:rsid w:val="000E38A3"/>
    <w:rsid w:val="000E3A48"/>
    <w:rsid w:val="000E3F92"/>
    <w:rsid w:val="000E40A2"/>
    <w:rsid w:val="000E42C5"/>
    <w:rsid w:val="000E540F"/>
    <w:rsid w:val="000E57E9"/>
    <w:rsid w:val="000E5C45"/>
    <w:rsid w:val="000E67CC"/>
    <w:rsid w:val="000E7334"/>
    <w:rsid w:val="000F0639"/>
    <w:rsid w:val="000F0711"/>
    <w:rsid w:val="000F1463"/>
    <w:rsid w:val="000F1D3A"/>
    <w:rsid w:val="000F3F0B"/>
    <w:rsid w:val="000F42C8"/>
    <w:rsid w:val="000F4FC8"/>
    <w:rsid w:val="000F585F"/>
    <w:rsid w:val="000F7499"/>
    <w:rsid w:val="001010B8"/>
    <w:rsid w:val="0010170A"/>
    <w:rsid w:val="00102F97"/>
    <w:rsid w:val="0010403C"/>
    <w:rsid w:val="001047EB"/>
    <w:rsid w:val="001049A0"/>
    <w:rsid w:val="00110EC0"/>
    <w:rsid w:val="001123C1"/>
    <w:rsid w:val="00112D08"/>
    <w:rsid w:val="0011548C"/>
    <w:rsid w:val="00116B9F"/>
    <w:rsid w:val="0011741C"/>
    <w:rsid w:val="00117750"/>
    <w:rsid w:val="0012038B"/>
    <w:rsid w:val="0012100F"/>
    <w:rsid w:val="0012134C"/>
    <w:rsid w:val="00122AA5"/>
    <w:rsid w:val="00123BF4"/>
    <w:rsid w:val="00124CA0"/>
    <w:rsid w:val="001257C6"/>
    <w:rsid w:val="00126842"/>
    <w:rsid w:val="00127052"/>
    <w:rsid w:val="001270E3"/>
    <w:rsid w:val="0012737A"/>
    <w:rsid w:val="00130047"/>
    <w:rsid w:val="00131860"/>
    <w:rsid w:val="00131CF8"/>
    <w:rsid w:val="001324A4"/>
    <w:rsid w:val="00132790"/>
    <w:rsid w:val="00132B92"/>
    <w:rsid w:val="001332D1"/>
    <w:rsid w:val="001343C9"/>
    <w:rsid w:val="001345CF"/>
    <w:rsid w:val="00134825"/>
    <w:rsid w:val="00134B39"/>
    <w:rsid w:val="00134EF0"/>
    <w:rsid w:val="00135B5D"/>
    <w:rsid w:val="00135F0A"/>
    <w:rsid w:val="0013697A"/>
    <w:rsid w:val="001377CD"/>
    <w:rsid w:val="00137D3D"/>
    <w:rsid w:val="00137E14"/>
    <w:rsid w:val="00137EE5"/>
    <w:rsid w:val="001403BD"/>
    <w:rsid w:val="00140FA6"/>
    <w:rsid w:val="0014168F"/>
    <w:rsid w:val="00142089"/>
    <w:rsid w:val="001423B7"/>
    <w:rsid w:val="00142417"/>
    <w:rsid w:val="00142B2E"/>
    <w:rsid w:val="00142D7F"/>
    <w:rsid w:val="0014310D"/>
    <w:rsid w:val="00144150"/>
    <w:rsid w:val="0014579A"/>
    <w:rsid w:val="00145FF9"/>
    <w:rsid w:val="001477E6"/>
    <w:rsid w:val="0015103B"/>
    <w:rsid w:val="00152A6F"/>
    <w:rsid w:val="0015333A"/>
    <w:rsid w:val="00153EA5"/>
    <w:rsid w:val="00155373"/>
    <w:rsid w:val="0015550C"/>
    <w:rsid w:val="001556F9"/>
    <w:rsid w:val="00161964"/>
    <w:rsid w:val="00161FF2"/>
    <w:rsid w:val="001624ED"/>
    <w:rsid w:val="001637B7"/>
    <w:rsid w:val="001639A4"/>
    <w:rsid w:val="0016413F"/>
    <w:rsid w:val="00165B40"/>
    <w:rsid w:val="00165F58"/>
    <w:rsid w:val="00166A88"/>
    <w:rsid w:val="001672CB"/>
    <w:rsid w:val="00167671"/>
    <w:rsid w:val="001703A3"/>
    <w:rsid w:val="00172589"/>
    <w:rsid w:val="00173C82"/>
    <w:rsid w:val="00173DE7"/>
    <w:rsid w:val="001743DB"/>
    <w:rsid w:val="001751DC"/>
    <w:rsid w:val="001765F0"/>
    <w:rsid w:val="001772CD"/>
    <w:rsid w:val="00177A5C"/>
    <w:rsid w:val="001807EF"/>
    <w:rsid w:val="001810C3"/>
    <w:rsid w:val="00182DA7"/>
    <w:rsid w:val="001832B6"/>
    <w:rsid w:val="001843A8"/>
    <w:rsid w:val="001849B3"/>
    <w:rsid w:val="001854E7"/>
    <w:rsid w:val="00185BB0"/>
    <w:rsid w:val="00185D28"/>
    <w:rsid w:val="00186549"/>
    <w:rsid w:val="001866B3"/>
    <w:rsid w:val="00187EB0"/>
    <w:rsid w:val="00190486"/>
    <w:rsid w:val="00190521"/>
    <w:rsid w:val="00192012"/>
    <w:rsid w:val="00194184"/>
    <w:rsid w:val="00194844"/>
    <w:rsid w:val="0019574F"/>
    <w:rsid w:val="00195F00"/>
    <w:rsid w:val="00196F70"/>
    <w:rsid w:val="00197A30"/>
    <w:rsid w:val="00197F7C"/>
    <w:rsid w:val="001A01BC"/>
    <w:rsid w:val="001A2338"/>
    <w:rsid w:val="001A259B"/>
    <w:rsid w:val="001A25B5"/>
    <w:rsid w:val="001A2A33"/>
    <w:rsid w:val="001A3020"/>
    <w:rsid w:val="001A42A4"/>
    <w:rsid w:val="001A57F7"/>
    <w:rsid w:val="001A5EB6"/>
    <w:rsid w:val="001A61FE"/>
    <w:rsid w:val="001A72DE"/>
    <w:rsid w:val="001B017F"/>
    <w:rsid w:val="001B1322"/>
    <w:rsid w:val="001B2456"/>
    <w:rsid w:val="001B3EDC"/>
    <w:rsid w:val="001B5E7D"/>
    <w:rsid w:val="001B60E8"/>
    <w:rsid w:val="001C0332"/>
    <w:rsid w:val="001C1C38"/>
    <w:rsid w:val="001C2A60"/>
    <w:rsid w:val="001C2E26"/>
    <w:rsid w:val="001C31C2"/>
    <w:rsid w:val="001C3A88"/>
    <w:rsid w:val="001C4B4E"/>
    <w:rsid w:val="001C4C4C"/>
    <w:rsid w:val="001C5D68"/>
    <w:rsid w:val="001C6950"/>
    <w:rsid w:val="001C6A69"/>
    <w:rsid w:val="001C7146"/>
    <w:rsid w:val="001D0893"/>
    <w:rsid w:val="001D10D1"/>
    <w:rsid w:val="001D2BD8"/>
    <w:rsid w:val="001D2CD3"/>
    <w:rsid w:val="001D36CD"/>
    <w:rsid w:val="001D439E"/>
    <w:rsid w:val="001D4C71"/>
    <w:rsid w:val="001D74D5"/>
    <w:rsid w:val="001D7825"/>
    <w:rsid w:val="001D7A96"/>
    <w:rsid w:val="001E11EB"/>
    <w:rsid w:val="001E161F"/>
    <w:rsid w:val="001E1D89"/>
    <w:rsid w:val="001E2E9F"/>
    <w:rsid w:val="001E33E5"/>
    <w:rsid w:val="001E34C2"/>
    <w:rsid w:val="001E3C35"/>
    <w:rsid w:val="001E4D90"/>
    <w:rsid w:val="001E5710"/>
    <w:rsid w:val="001F518C"/>
    <w:rsid w:val="001F5AB5"/>
    <w:rsid w:val="001F6748"/>
    <w:rsid w:val="001F6961"/>
    <w:rsid w:val="001F709A"/>
    <w:rsid w:val="001F730F"/>
    <w:rsid w:val="001F7A11"/>
    <w:rsid w:val="0020058E"/>
    <w:rsid w:val="002018BA"/>
    <w:rsid w:val="00201B27"/>
    <w:rsid w:val="00201E6C"/>
    <w:rsid w:val="002024FB"/>
    <w:rsid w:val="0020337F"/>
    <w:rsid w:val="0020491E"/>
    <w:rsid w:val="0021070F"/>
    <w:rsid w:val="002116B9"/>
    <w:rsid w:val="00211E31"/>
    <w:rsid w:val="002123B7"/>
    <w:rsid w:val="00213050"/>
    <w:rsid w:val="002133A0"/>
    <w:rsid w:val="00213792"/>
    <w:rsid w:val="00214374"/>
    <w:rsid w:val="00214411"/>
    <w:rsid w:val="00215548"/>
    <w:rsid w:val="00215ADE"/>
    <w:rsid w:val="00216DE2"/>
    <w:rsid w:val="0021751B"/>
    <w:rsid w:val="00220319"/>
    <w:rsid w:val="00223C7E"/>
    <w:rsid w:val="00224200"/>
    <w:rsid w:val="002246D6"/>
    <w:rsid w:val="0022691C"/>
    <w:rsid w:val="00227004"/>
    <w:rsid w:val="00227299"/>
    <w:rsid w:val="002301B4"/>
    <w:rsid w:val="00231ED7"/>
    <w:rsid w:val="002322F7"/>
    <w:rsid w:val="00233A95"/>
    <w:rsid w:val="00233CCA"/>
    <w:rsid w:val="00234968"/>
    <w:rsid w:val="00235027"/>
    <w:rsid w:val="00235311"/>
    <w:rsid w:val="00236113"/>
    <w:rsid w:val="00236235"/>
    <w:rsid w:val="002362FF"/>
    <w:rsid w:val="00236A2B"/>
    <w:rsid w:val="00236AB8"/>
    <w:rsid w:val="002412A8"/>
    <w:rsid w:val="00242C80"/>
    <w:rsid w:val="00242DB8"/>
    <w:rsid w:val="00242E12"/>
    <w:rsid w:val="00243ACB"/>
    <w:rsid w:val="002466A7"/>
    <w:rsid w:val="00246E93"/>
    <w:rsid w:val="0025058A"/>
    <w:rsid w:val="00250C62"/>
    <w:rsid w:val="00251AE4"/>
    <w:rsid w:val="00251B8F"/>
    <w:rsid w:val="00252D39"/>
    <w:rsid w:val="00253192"/>
    <w:rsid w:val="0025329B"/>
    <w:rsid w:val="002532F4"/>
    <w:rsid w:val="002537A0"/>
    <w:rsid w:val="002541FB"/>
    <w:rsid w:val="002547F8"/>
    <w:rsid w:val="0025489E"/>
    <w:rsid w:val="00255334"/>
    <w:rsid w:val="002553E7"/>
    <w:rsid w:val="00257410"/>
    <w:rsid w:val="002579A2"/>
    <w:rsid w:val="00260B58"/>
    <w:rsid w:val="00260DA1"/>
    <w:rsid w:val="00261ECA"/>
    <w:rsid w:val="00262833"/>
    <w:rsid w:val="00264ADC"/>
    <w:rsid w:val="00265C12"/>
    <w:rsid w:val="00266810"/>
    <w:rsid w:val="00266844"/>
    <w:rsid w:val="002676C2"/>
    <w:rsid w:val="002707CE"/>
    <w:rsid w:val="0027133C"/>
    <w:rsid w:val="00271551"/>
    <w:rsid w:val="002716D8"/>
    <w:rsid w:val="002716F1"/>
    <w:rsid w:val="002728E1"/>
    <w:rsid w:val="00272CF6"/>
    <w:rsid w:val="0027326A"/>
    <w:rsid w:val="002732A4"/>
    <w:rsid w:val="002735ED"/>
    <w:rsid w:val="00274A2D"/>
    <w:rsid w:val="002750AD"/>
    <w:rsid w:val="00275590"/>
    <w:rsid w:val="00275883"/>
    <w:rsid w:val="00275EEE"/>
    <w:rsid w:val="0027600C"/>
    <w:rsid w:val="00276B36"/>
    <w:rsid w:val="00276C93"/>
    <w:rsid w:val="0027769C"/>
    <w:rsid w:val="002800A5"/>
    <w:rsid w:val="00280A80"/>
    <w:rsid w:val="00282761"/>
    <w:rsid w:val="00282C30"/>
    <w:rsid w:val="00284F7E"/>
    <w:rsid w:val="00285654"/>
    <w:rsid w:val="002856FC"/>
    <w:rsid w:val="00287E13"/>
    <w:rsid w:val="00290D34"/>
    <w:rsid w:val="002912C0"/>
    <w:rsid w:val="00292534"/>
    <w:rsid w:val="00293266"/>
    <w:rsid w:val="00294807"/>
    <w:rsid w:val="00294ABA"/>
    <w:rsid w:val="00294B12"/>
    <w:rsid w:val="00294EF8"/>
    <w:rsid w:val="00295200"/>
    <w:rsid w:val="002A2127"/>
    <w:rsid w:val="002A58E4"/>
    <w:rsid w:val="002B1DA6"/>
    <w:rsid w:val="002B2258"/>
    <w:rsid w:val="002B349C"/>
    <w:rsid w:val="002B5930"/>
    <w:rsid w:val="002B63FE"/>
    <w:rsid w:val="002B7F6C"/>
    <w:rsid w:val="002C03ED"/>
    <w:rsid w:val="002C0A66"/>
    <w:rsid w:val="002C18E1"/>
    <w:rsid w:val="002C3B94"/>
    <w:rsid w:val="002C3D9D"/>
    <w:rsid w:val="002C40FD"/>
    <w:rsid w:val="002C5247"/>
    <w:rsid w:val="002C7053"/>
    <w:rsid w:val="002D1E8C"/>
    <w:rsid w:val="002D454F"/>
    <w:rsid w:val="002D76D0"/>
    <w:rsid w:val="002E088D"/>
    <w:rsid w:val="002E0B56"/>
    <w:rsid w:val="002E190D"/>
    <w:rsid w:val="002E1B98"/>
    <w:rsid w:val="002E224E"/>
    <w:rsid w:val="002E2504"/>
    <w:rsid w:val="002E37C0"/>
    <w:rsid w:val="002E4925"/>
    <w:rsid w:val="002E59AB"/>
    <w:rsid w:val="002E6251"/>
    <w:rsid w:val="002F0239"/>
    <w:rsid w:val="002F0436"/>
    <w:rsid w:val="002F0583"/>
    <w:rsid w:val="002F08E2"/>
    <w:rsid w:val="002F1DC1"/>
    <w:rsid w:val="002F34AC"/>
    <w:rsid w:val="002F3774"/>
    <w:rsid w:val="002F3A33"/>
    <w:rsid w:val="002F4528"/>
    <w:rsid w:val="002F4B15"/>
    <w:rsid w:val="002F637D"/>
    <w:rsid w:val="002F646E"/>
    <w:rsid w:val="002F72D0"/>
    <w:rsid w:val="002F7832"/>
    <w:rsid w:val="002F7F15"/>
    <w:rsid w:val="0030032C"/>
    <w:rsid w:val="00301C5B"/>
    <w:rsid w:val="003023A1"/>
    <w:rsid w:val="0030312C"/>
    <w:rsid w:val="00303989"/>
    <w:rsid w:val="00307641"/>
    <w:rsid w:val="003077AF"/>
    <w:rsid w:val="003105F7"/>
    <w:rsid w:val="003108F4"/>
    <w:rsid w:val="003113A4"/>
    <w:rsid w:val="0031311C"/>
    <w:rsid w:val="00313A49"/>
    <w:rsid w:val="00313E74"/>
    <w:rsid w:val="0031458B"/>
    <w:rsid w:val="00315DAF"/>
    <w:rsid w:val="003168F8"/>
    <w:rsid w:val="003202BE"/>
    <w:rsid w:val="00320B26"/>
    <w:rsid w:val="00321F45"/>
    <w:rsid w:val="00324350"/>
    <w:rsid w:val="00324420"/>
    <w:rsid w:val="00325D21"/>
    <w:rsid w:val="00325F06"/>
    <w:rsid w:val="00325F89"/>
    <w:rsid w:val="00327057"/>
    <w:rsid w:val="003274E4"/>
    <w:rsid w:val="003310EF"/>
    <w:rsid w:val="00331A3F"/>
    <w:rsid w:val="00331AD5"/>
    <w:rsid w:val="00331DEF"/>
    <w:rsid w:val="00332309"/>
    <w:rsid w:val="003326A1"/>
    <w:rsid w:val="00332A59"/>
    <w:rsid w:val="00332A79"/>
    <w:rsid w:val="00332C3F"/>
    <w:rsid w:val="00335593"/>
    <w:rsid w:val="0033589D"/>
    <w:rsid w:val="00335B3B"/>
    <w:rsid w:val="00337A20"/>
    <w:rsid w:val="00337F89"/>
    <w:rsid w:val="00341263"/>
    <w:rsid w:val="0034130A"/>
    <w:rsid w:val="00341484"/>
    <w:rsid w:val="003420C3"/>
    <w:rsid w:val="0034256D"/>
    <w:rsid w:val="00342E6B"/>
    <w:rsid w:val="00343A9F"/>
    <w:rsid w:val="00343B6A"/>
    <w:rsid w:val="003447D4"/>
    <w:rsid w:val="00345A5E"/>
    <w:rsid w:val="00345B4E"/>
    <w:rsid w:val="003505AD"/>
    <w:rsid w:val="003535E6"/>
    <w:rsid w:val="00353E61"/>
    <w:rsid w:val="00354E09"/>
    <w:rsid w:val="00355016"/>
    <w:rsid w:val="00355032"/>
    <w:rsid w:val="00355F35"/>
    <w:rsid w:val="00356694"/>
    <w:rsid w:val="00356E1D"/>
    <w:rsid w:val="003570ED"/>
    <w:rsid w:val="00360013"/>
    <w:rsid w:val="00361139"/>
    <w:rsid w:val="00361797"/>
    <w:rsid w:val="003627B1"/>
    <w:rsid w:val="00362941"/>
    <w:rsid w:val="0036420A"/>
    <w:rsid w:val="0036537E"/>
    <w:rsid w:val="00366BE0"/>
    <w:rsid w:val="00367315"/>
    <w:rsid w:val="00370655"/>
    <w:rsid w:val="003720D0"/>
    <w:rsid w:val="0037354C"/>
    <w:rsid w:val="003745D1"/>
    <w:rsid w:val="0037609D"/>
    <w:rsid w:val="0037612F"/>
    <w:rsid w:val="00376EFE"/>
    <w:rsid w:val="0037706F"/>
    <w:rsid w:val="0037761F"/>
    <w:rsid w:val="00377EF1"/>
    <w:rsid w:val="003802B9"/>
    <w:rsid w:val="00380A76"/>
    <w:rsid w:val="00381463"/>
    <w:rsid w:val="0038164C"/>
    <w:rsid w:val="003830F5"/>
    <w:rsid w:val="00383692"/>
    <w:rsid w:val="003841BF"/>
    <w:rsid w:val="00384707"/>
    <w:rsid w:val="00385696"/>
    <w:rsid w:val="00387AF3"/>
    <w:rsid w:val="00392194"/>
    <w:rsid w:val="003922EA"/>
    <w:rsid w:val="003928F4"/>
    <w:rsid w:val="003939AD"/>
    <w:rsid w:val="00393B93"/>
    <w:rsid w:val="0039425F"/>
    <w:rsid w:val="00395644"/>
    <w:rsid w:val="0039671E"/>
    <w:rsid w:val="00397DDC"/>
    <w:rsid w:val="003A05EA"/>
    <w:rsid w:val="003A574F"/>
    <w:rsid w:val="003A5DA1"/>
    <w:rsid w:val="003A6284"/>
    <w:rsid w:val="003A7328"/>
    <w:rsid w:val="003A7F86"/>
    <w:rsid w:val="003B2036"/>
    <w:rsid w:val="003B246C"/>
    <w:rsid w:val="003B25B5"/>
    <w:rsid w:val="003B4FBB"/>
    <w:rsid w:val="003B5BFC"/>
    <w:rsid w:val="003B6361"/>
    <w:rsid w:val="003B65A9"/>
    <w:rsid w:val="003B7657"/>
    <w:rsid w:val="003B7A59"/>
    <w:rsid w:val="003B7CD0"/>
    <w:rsid w:val="003B7E46"/>
    <w:rsid w:val="003C0A5E"/>
    <w:rsid w:val="003C0A98"/>
    <w:rsid w:val="003C0E1C"/>
    <w:rsid w:val="003C16FF"/>
    <w:rsid w:val="003C1E9D"/>
    <w:rsid w:val="003C1EF5"/>
    <w:rsid w:val="003C2FF9"/>
    <w:rsid w:val="003C3DDA"/>
    <w:rsid w:val="003C4758"/>
    <w:rsid w:val="003C5242"/>
    <w:rsid w:val="003C65D3"/>
    <w:rsid w:val="003C6FC4"/>
    <w:rsid w:val="003D02CA"/>
    <w:rsid w:val="003D1A83"/>
    <w:rsid w:val="003D2545"/>
    <w:rsid w:val="003D2B11"/>
    <w:rsid w:val="003D36FC"/>
    <w:rsid w:val="003D3D52"/>
    <w:rsid w:val="003D44A4"/>
    <w:rsid w:val="003D5176"/>
    <w:rsid w:val="003D5B52"/>
    <w:rsid w:val="003D665C"/>
    <w:rsid w:val="003D66D7"/>
    <w:rsid w:val="003D6C28"/>
    <w:rsid w:val="003D7C72"/>
    <w:rsid w:val="003E0599"/>
    <w:rsid w:val="003E07CE"/>
    <w:rsid w:val="003E0A9A"/>
    <w:rsid w:val="003E1202"/>
    <w:rsid w:val="003E12DF"/>
    <w:rsid w:val="003E1423"/>
    <w:rsid w:val="003E2998"/>
    <w:rsid w:val="003E3D4C"/>
    <w:rsid w:val="003E3FBF"/>
    <w:rsid w:val="003E5776"/>
    <w:rsid w:val="003E5FC7"/>
    <w:rsid w:val="003E64A5"/>
    <w:rsid w:val="003E70EE"/>
    <w:rsid w:val="003F033D"/>
    <w:rsid w:val="003F0DC0"/>
    <w:rsid w:val="003F236E"/>
    <w:rsid w:val="003F3CAC"/>
    <w:rsid w:val="003F426D"/>
    <w:rsid w:val="003F4516"/>
    <w:rsid w:val="003F5594"/>
    <w:rsid w:val="003F6672"/>
    <w:rsid w:val="00400690"/>
    <w:rsid w:val="00400AC3"/>
    <w:rsid w:val="00402481"/>
    <w:rsid w:val="00403B0C"/>
    <w:rsid w:val="004047DA"/>
    <w:rsid w:val="0040481B"/>
    <w:rsid w:val="00404F81"/>
    <w:rsid w:val="004078F2"/>
    <w:rsid w:val="00410541"/>
    <w:rsid w:val="00412762"/>
    <w:rsid w:val="0041380A"/>
    <w:rsid w:val="00416968"/>
    <w:rsid w:val="00416D28"/>
    <w:rsid w:val="00423711"/>
    <w:rsid w:val="00423E1C"/>
    <w:rsid w:val="00424090"/>
    <w:rsid w:val="00425748"/>
    <w:rsid w:val="004257A1"/>
    <w:rsid w:val="00425915"/>
    <w:rsid w:val="00427E72"/>
    <w:rsid w:val="0043058F"/>
    <w:rsid w:val="00430C79"/>
    <w:rsid w:val="00431518"/>
    <w:rsid w:val="004322EA"/>
    <w:rsid w:val="00432BA7"/>
    <w:rsid w:val="00432DDE"/>
    <w:rsid w:val="00432EA3"/>
    <w:rsid w:val="00433800"/>
    <w:rsid w:val="00434BDE"/>
    <w:rsid w:val="00437879"/>
    <w:rsid w:val="004418E0"/>
    <w:rsid w:val="0044335C"/>
    <w:rsid w:val="00450768"/>
    <w:rsid w:val="004507AF"/>
    <w:rsid w:val="004515FF"/>
    <w:rsid w:val="00453222"/>
    <w:rsid w:val="004533C2"/>
    <w:rsid w:val="0045367E"/>
    <w:rsid w:val="00453CA6"/>
    <w:rsid w:val="004540B0"/>
    <w:rsid w:val="00454391"/>
    <w:rsid w:val="00454B56"/>
    <w:rsid w:val="0045511A"/>
    <w:rsid w:val="004552BC"/>
    <w:rsid w:val="00457647"/>
    <w:rsid w:val="00460168"/>
    <w:rsid w:val="004606CD"/>
    <w:rsid w:val="00460D40"/>
    <w:rsid w:val="00460D70"/>
    <w:rsid w:val="00460F3A"/>
    <w:rsid w:val="00462240"/>
    <w:rsid w:val="00462DA4"/>
    <w:rsid w:val="00464AF6"/>
    <w:rsid w:val="00465753"/>
    <w:rsid w:val="00466102"/>
    <w:rsid w:val="004707ED"/>
    <w:rsid w:val="00470E22"/>
    <w:rsid w:val="00472916"/>
    <w:rsid w:val="0047308F"/>
    <w:rsid w:val="004738E6"/>
    <w:rsid w:val="00473F78"/>
    <w:rsid w:val="0047551F"/>
    <w:rsid w:val="0047657D"/>
    <w:rsid w:val="004776E8"/>
    <w:rsid w:val="00480EC2"/>
    <w:rsid w:val="00481561"/>
    <w:rsid w:val="00481D66"/>
    <w:rsid w:val="00482238"/>
    <w:rsid w:val="00482602"/>
    <w:rsid w:val="00482811"/>
    <w:rsid w:val="00484E11"/>
    <w:rsid w:val="00487693"/>
    <w:rsid w:val="0049044E"/>
    <w:rsid w:val="00491570"/>
    <w:rsid w:val="00491600"/>
    <w:rsid w:val="00492A17"/>
    <w:rsid w:val="0049505F"/>
    <w:rsid w:val="00497809"/>
    <w:rsid w:val="004A1AEE"/>
    <w:rsid w:val="004A1B00"/>
    <w:rsid w:val="004A1CD3"/>
    <w:rsid w:val="004A2D59"/>
    <w:rsid w:val="004A3253"/>
    <w:rsid w:val="004A3B1A"/>
    <w:rsid w:val="004A43DA"/>
    <w:rsid w:val="004A4673"/>
    <w:rsid w:val="004A4B11"/>
    <w:rsid w:val="004A4E81"/>
    <w:rsid w:val="004A5E30"/>
    <w:rsid w:val="004B0B62"/>
    <w:rsid w:val="004B0E27"/>
    <w:rsid w:val="004B219D"/>
    <w:rsid w:val="004B3F1D"/>
    <w:rsid w:val="004B3FF5"/>
    <w:rsid w:val="004B4D9D"/>
    <w:rsid w:val="004B5AA7"/>
    <w:rsid w:val="004B663A"/>
    <w:rsid w:val="004B6979"/>
    <w:rsid w:val="004B6B93"/>
    <w:rsid w:val="004B796E"/>
    <w:rsid w:val="004B7DA5"/>
    <w:rsid w:val="004C1DC1"/>
    <w:rsid w:val="004C2262"/>
    <w:rsid w:val="004C3D97"/>
    <w:rsid w:val="004C4AE2"/>
    <w:rsid w:val="004C4C16"/>
    <w:rsid w:val="004C4E54"/>
    <w:rsid w:val="004C79F1"/>
    <w:rsid w:val="004C7BFA"/>
    <w:rsid w:val="004D00FE"/>
    <w:rsid w:val="004D07C0"/>
    <w:rsid w:val="004D1A31"/>
    <w:rsid w:val="004D3133"/>
    <w:rsid w:val="004D33A0"/>
    <w:rsid w:val="004D3DCC"/>
    <w:rsid w:val="004D41EA"/>
    <w:rsid w:val="004D5D1E"/>
    <w:rsid w:val="004D678C"/>
    <w:rsid w:val="004D695F"/>
    <w:rsid w:val="004D7B72"/>
    <w:rsid w:val="004E11B4"/>
    <w:rsid w:val="004E1B44"/>
    <w:rsid w:val="004E21D5"/>
    <w:rsid w:val="004E22A4"/>
    <w:rsid w:val="004E3B06"/>
    <w:rsid w:val="004E6086"/>
    <w:rsid w:val="004E6570"/>
    <w:rsid w:val="004E6A9F"/>
    <w:rsid w:val="004E7104"/>
    <w:rsid w:val="004F0DE3"/>
    <w:rsid w:val="004F59C9"/>
    <w:rsid w:val="004F6549"/>
    <w:rsid w:val="004F73A8"/>
    <w:rsid w:val="005002BD"/>
    <w:rsid w:val="005005DA"/>
    <w:rsid w:val="005007F4"/>
    <w:rsid w:val="005018FF"/>
    <w:rsid w:val="00502129"/>
    <w:rsid w:val="00503D3C"/>
    <w:rsid w:val="00504222"/>
    <w:rsid w:val="0050444A"/>
    <w:rsid w:val="005044A1"/>
    <w:rsid w:val="0050758B"/>
    <w:rsid w:val="00511195"/>
    <w:rsid w:val="00513332"/>
    <w:rsid w:val="005133B1"/>
    <w:rsid w:val="005147FC"/>
    <w:rsid w:val="00515742"/>
    <w:rsid w:val="0051597B"/>
    <w:rsid w:val="00516283"/>
    <w:rsid w:val="00517D99"/>
    <w:rsid w:val="00517DB5"/>
    <w:rsid w:val="00520598"/>
    <w:rsid w:val="00521241"/>
    <w:rsid w:val="005214A7"/>
    <w:rsid w:val="005223CE"/>
    <w:rsid w:val="00522A19"/>
    <w:rsid w:val="00523075"/>
    <w:rsid w:val="00524344"/>
    <w:rsid w:val="0052475C"/>
    <w:rsid w:val="005261BD"/>
    <w:rsid w:val="0052648D"/>
    <w:rsid w:val="0052725B"/>
    <w:rsid w:val="0052796E"/>
    <w:rsid w:val="00530809"/>
    <w:rsid w:val="00531282"/>
    <w:rsid w:val="005314CB"/>
    <w:rsid w:val="00531A56"/>
    <w:rsid w:val="00532251"/>
    <w:rsid w:val="00533DA4"/>
    <w:rsid w:val="00534530"/>
    <w:rsid w:val="005346FA"/>
    <w:rsid w:val="0053476F"/>
    <w:rsid w:val="00534B32"/>
    <w:rsid w:val="005353B8"/>
    <w:rsid w:val="005357AE"/>
    <w:rsid w:val="00535DF4"/>
    <w:rsid w:val="00537E36"/>
    <w:rsid w:val="005401F3"/>
    <w:rsid w:val="0054078F"/>
    <w:rsid w:val="00540BD3"/>
    <w:rsid w:val="005413F3"/>
    <w:rsid w:val="00541867"/>
    <w:rsid w:val="0054210A"/>
    <w:rsid w:val="00542945"/>
    <w:rsid w:val="00543F5D"/>
    <w:rsid w:val="00544338"/>
    <w:rsid w:val="00544366"/>
    <w:rsid w:val="0054462A"/>
    <w:rsid w:val="00545F8C"/>
    <w:rsid w:val="00546F71"/>
    <w:rsid w:val="0054705B"/>
    <w:rsid w:val="0054793C"/>
    <w:rsid w:val="005502E2"/>
    <w:rsid w:val="005509B4"/>
    <w:rsid w:val="00551B09"/>
    <w:rsid w:val="00551CA2"/>
    <w:rsid w:val="0055318F"/>
    <w:rsid w:val="0055338E"/>
    <w:rsid w:val="005557A1"/>
    <w:rsid w:val="00555EB7"/>
    <w:rsid w:val="0055651C"/>
    <w:rsid w:val="00556B74"/>
    <w:rsid w:val="005629D2"/>
    <w:rsid w:val="00563006"/>
    <w:rsid w:val="005631CE"/>
    <w:rsid w:val="00563783"/>
    <w:rsid w:val="00564076"/>
    <w:rsid w:val="005644F6"/>
    <w:rsid w:val="0056483B"/>
    <w:rsid w:val="00564CF1"/>
    <w:rsid w:val="00565F1A"/>
    <w:rsid w:val="00566AA8"/>
    <w:rsid w:val="00567632"/>
    <w:rsid w:val="005711B5"/>
    <w:rsid w:val="0057151B"/>
    <w:rsid w:val="00572312"/>
    <w:rsid w:val="00572664"/>
    <w:rsid w:val="00572CBC"/>
    <w:rsid w:val="00573369"/>
    <w:rsid w:val="0057339A"/>
    <w:rsid w:val="005742C7"/>
    <w:rsid w:val="005751B9"/>
    <w:rsid w:val="00575397"/>
    <w:rsid w:val="00575593"/>
    <w:rsid w:val="0057582F"/>
    <w:rsid w:val="00575989"/>
    <w:rsid w:val="00576F95"/>
    <w:rsid w:val="00577D1F"/>
    <w:rsid w:val="00577DFE"/>
    <w:rsid w:val="005811C4"/>
    <w:rsid w:val="00581FF0"/>
    <w:rsid w:val="005821FB"/>
    <w:rsid w:val="0058298F"/>
    <w:rsid w:val="005829D4"/>
    <w:rsid w:val="00583898"/>
    <w:rsid w:val="00583C19"/>
    <w:rsid w:val="005846D3"/>
    <w:rsid w:val="00584BC0"/>
    <w:rsid w:val="00584D8C"/>
    <w:rsid w:val="005857EB"/>
    <w:rsid w:val="00585A27"/>
    <w:rsid w:val="00585B62"/>
    <w:rsid w:val="0058664D"/>
    <w:rsid w:val="0058666A"/>
    <w:rsid w:val="00587530"/>
    <w:rsid w:val="00587C38"/>
    <w:rsid w:val="00590606"/>
    <w:rsid w:val="00590C6D"/>
    <w:rsid w:val="005928F2"/>
    <w:rsid w:val="00592D02"/>
    <w:rsid w:val="00593AB1"/>
    <w:rsid w:val="00594224"/>
    <w:rsid w:val="0059610E"/>
    <w:rsid w:val="00597019"/>
    <w:rsid w:val="005A0063"/>
    <w:rsid w:val="005A1370"/>
    <w:rsid w:val="005A262A"/>
    <w:rsid w:val="005A2AC2"/>
    <w:rsid w:val="005A2C88"/>
    <w:rsid w:val="005A35D5"/>
    <w:rsid w:val="005A52B9"/>
    <w:rsid w:val="005A59C5"/>
    <w:rsid w:val="005A7F17"/>
    <w:rsid w:val="005B1552"/>
    <w:rsid w:val="005B155C"/>
    <w:rsid w:val="005B193F"/>
    <w:rsid w:val="005B2EBE"/>
    <w:rsid w:val="005B3E2C"/>
    <w:rsid w:val="005B4B66"/>
    <w:rsid w:val="005B6B48"/>
    <w:rsid w:val="005B7C0F"/>
    <w:rsid w:val="005C0BD5"/>
    <w:rsid w:val="005C11F9"/>
    <w:rsid w:val="005C246B"/>
    <w:rsid w:val="005C2700"/>
    <w:rsid w:val="005C3B59"/>
    <w:rsid w:val="005C3F5A"/>
    <w:rsid w:val="005C5E7A"/>
    <w:rsid w:val="005C7109"/>
    <w:rsid w:val="005C7C06"/>
    <w:rsid w:val="005D0364"/>
    <w:rsid w:val="005D0398"/>
    <w:rsid w:val="005D0BCD"/>
    <w:rsid w:val="005D264F"/>
    <w:rsid w:val="005D4250"/>
    <w:rsid w:val="005D4529"/>
    <w:rsid w:val="005D57B9"/>
    <w:rsid w:val="005D636C"/>
    <w:rsid w:val="005D6436"/>
    <w:rsid w:val="005D6764"/>
    <w:rsid w:val="005D7E72"/>
    <w:rsid w:val="005E09C5"/>
    <w:rsid w:val="005E1470"/>
    <w:rsid w:val="005E1DC4"/>
    <w:rsid w:val="005E1E1A"/>
    <w:rsid w:val="005E22FB"/>
    <w:rsid w:val="005E2A7B"/>
    <w:rsid w:val="005E2AEB"/>
    <w:rsid w:val="005E4A92"/>
    <w:rsid w:val="005E4AE8"/>
    <w:rsid w:val="005E5A07"/>
    <w:rsid w:val="005E5D7C"/>
    <w:rsid w:val="005E5D9B"/>
    <w:rsid w:val="005E6D49"/>
    <w:rsid w:val="005E6EAC"/>
    <w:rsid w:val="005E7158"/>
    <w:rsid w:val="005F05B5"/>
    <w:rsid w:val="005F10FF"/>
    <w:rsid w:val="005F1BC0"/>
    <w:rsid w:val="005F214F"/>
    <w:rsid w:val="005F228C"/>
    <w:rsid w:val="005F3220"/>
    <w:rsid w:val="005F399C"/>
    <w:rsid w:val="005F4DA9"/>
    <w:rsid w:val="005F4DB9"/>
    <w:rsid w:val="005F6249"/>
    <w:rsid w:val="005F64A0"/>
    <w:rsid w:val="005F67AC"/>
    <w:rsid w:val="005F7901"/>
    <w:rsid w:val="00600711"/>
    <w:rsid w:val="00600B86"/>
    <w:rsid w:val="00600EAE"/>
    <w:rsid w:val="0060221A"/>
    <w:rsid w:val="00603A66"/>
    <w:rsid w:val="00603BDC"/>
    <w:rsid w:val="00604C5C"/>
    <w:rsid w:val="006055F2"/>
    <w:rsid w:val="0060647D"/>
    <w:rsid w:val="006072F2"/>
    <w:rsid w:val="00607BE6"/>
    <w:rsid w:val="00610E16"/>
    <w:rsid w:val="006119E0"/>
    <w:rsid w:val="00613448"/>
    <w:rsid w:val="00615459"/>
    <w:rsid w:val="006210C4"/>
    <w:rsid w:val="00621747"/>
    <w:rsid w:val="006236BA"/>
    <w:rsid w:val="006242C4"/>
    <w:rsid w:val="00624377"/>
    <w:rsid w:val="00625DBF"/>
    <w:rsid w:val="0062644B"/>
    <w:rsid w:val="00626760"/>
    <w:rsid w:val="00627E2D"/>
    <w:rsid w:val="00630179"/>
    <w:rsid w:val="00630F11"/>
    <w:rsid w:val="00631209"/>
    <w:rsid w:val="00631516"/>
    <w:rsid w:val="00631C04"/>
    <w:rsid w:val="006324EC"/>
    <w:rsid w:val="00633104"/>
    <w:rsid w:val="006335E4"/>
    <w:rsid w:val="0063398C"/>
    <w:rsid w:val="00633E1D"/>
    <w:rsid w:val="00634B73"/>
    <w:rsid w:val="006368B7"/>
    <w:rsid w:val="00636A1C"/>
    <w:rsid w:val="00636B8A"/>
    <w:rsid w:val="00636F38"/>
    <w:rsid w:val="0063750A"/>
    <w:rsid w:val="00637A2E"/>
    <w:rsid w:val="00637ECE"/>
    <w:rsid w:val="00640D8F"/>
    <w:rsid w:val="00641222"/>
    <w:rsid w:val="00641A04"/>
    <w:rsid w:val="00643B62"/>
    <w:rsid w:val="00644966"/>
    <w:rsid w:val="00645188"/>
    <w:rsid w:val="006451E6"/>
    <w:rsid w:val="006456B8"/>
    <w:rsid w:val="00645ACA"/>
    <w:rsid w:val="00645DF9"/>
    <w:rsid w:val="00647292"/>
    <w:rsid w:val="006476A2"/>
    <w:rsid w:val="00650181"/>
    <w:rsid w:val="0065073B"/>
    <w:rsid w:val="00650B92"/>
    <w:rsid w:val="00650E45"/>
    <w:rsid w:val="00651288"/>
    <w:rsid w:val="00651512"/>
    <w:rsid w:val="00653497"/>
    <w:rsid w:val="006534ED"/>
    <w:rsid w:val="006555F7"/>
    <w:rsid w:val="00656ECA"/>
    <w:rsid w:val="0065764E"/>
    <w:rsid w:val="0066079B"/>
    <w:rsid w:val="006618A0"/>
    <w:rsid w:val="006628F0"/>
    <w:rsid w:val="006639D6"/>
    <w:rsid w:val="00665054"/>
    <w:rsid w:val="00666889"/>
    <w:rsid w:val="00667559"/>
    <w:rsid w:val="00667A92"/>
    <w:rsid w:val="00670A19"/>
    <w:rsid w:val="00671937"/>
    <w:rsid w:val="00673009"/>
    <w:rsid w:val="006732FE"/>
    <w:rsid w:val="00673C7B"/>
    <w:rsid w:val="00675C34"/>
    <w:rsid w:val="00677FBA"/>
    <w:rsid w:val="00680400"/>
    <w:rsid w:val="00681057"/>
    <w:rsid w:val="00681584"/>
    <w:rsid w:val="0068235A"/>
    <w:rsid w:val="00682AB5"/>
    <w:rsid w:val="0068312F"/>
    <w:rsid w:val="00683198"/>
    <w:rsid w:val="00683AA5"/>
    <w:rsid w:val="00684DC9"/>
    <w:rsid w:val="00685F54"/>
    <w:rsid w:val="006860F7"/>
    <w:rsid w:val="0068691F"/>
    <w:rsid w:val="0068746B"/>
    <w:rsid w:val="006902EC"/>
    <w:rsid w:val="00690B66"/>
    <w:rsid w:val="00691478"/>
    <w:rsid w:val="00691B6A"/>
    <w:rsid w:val="006979FC"/>
    <w:rsid w:val="006A0CA3"/>
    <w:rsid w:val="006A1238"/>
    <w:rsid w:val="006A144C"/>
    <w:rsid w:val="006A22EE"/>
    <w:rsid w:val="006A2A33"/>
    <w:rsid w:val="006A3805"/>
    <w:rsid w:val="006A532A"/>
    <w:rsid w:val="006A5E24"/>
    <w:rsid w:val="006A69FF"/>
    <w:rsid w:val="006B01EC"/>
    <w:rsid w:val="006B0A6E"/>
    <w:rsid w:val="006B0CED"/>
    <w:rsid w:val="006B111E"/>
    <w:rsid w:val="006B1609"/>
    <w:rsid w:val="006B1F65"/>
    <w:rsid w:val="006B282B"/>
    <w:rsid w:val="006B4285"/>
    <w:rsid w:val="006B5547"/>
    <w:rsid w:val="006B5716"/>
    <w:rsid w:val="006B57FA"/>
    <w:rsid w:val="006B5A5B"/>
    <w:rsid w:val="006B65BF"/>
    <w:rsid w:val="006B6681"/>
    <w:rsid w:val="006B6957"/>
    <w:rsid w:val="006B7508"/>
    <w:rsid w:val="006B7747"/>
    <w:rsid w:val="006B784D"/>
    <w:rsid w:val="006B7915"/>
    <w:rsid w:val="006C040B"/>
    <w:rsid w:val="006C0D88"/>
    <w:rsid w:val="006C2044"/>
    <w:rsid w:val="006D110E"/>
    <w:rsid w:val="006D12C9"/>
    <w:rsid w:val="006D1C2A"/>
    <w:rsid w:val="006D3622"/>
    <w:rsid w:val="006D3EF0"/>
    <w:rsid w:val="006D40B7"/>
    <w:rsid w:val="006D492F"/>
    <w:rsid w:val="006D6293"/>
    <w:rsid w:val="006D62BA"/>
    <w:rsid w:val="006E017A"/>
    <w:rsid w:val="006E0905"/>
    <w:rsid w:val="006E130C"/>
    <w:rsid w:val="006E3C25"/>
    <w:rsid w:val="006E41FD"/>
    <w:rsid w:val="006E5777"/>
    <w:rsid w:val="006E715D"/>
    <w:rsid w:val="006E7E0E"/>
    <w:rsid w:val="006F03DF"/>
    <w:rsid w:val="006F050F"/>
    <w:rsid w:val="006F1E53"/>
    <w:rsid w:val="006F2023"/>
    <w:rsid w:val="006F219C"/>
    <w:rsid w:val="006F2537"/>
    <w:rsid w:val="006F2C76"/>
    <w:rsid w:val="006F42B5"/>
    <w:rsid w:val="006F4F2D"/>
    <w:rsid w:val="006F63FD"/>
    <w:rsid w:val="006F6423"/>
    <w:rsid w:val="006F77E3"/>
    <w:rsid w:val="00701851"/>
    <w:rsid w:val="00702D73"/>
    <w:rsid w:val="0070613F"/>
    <w:rsid w:val="00706CB5"/>
    <w:rsid w:val="00706DE1"/>
    <w:rsid w:val="00707E80"/>
    <w:rsid w:val="00711327"/>
    <w:rsid w:val="00711F9A"/>
    <w:rsid w:val="007134AC"/>
    <w:rsid w:val="007147F0"/>
    <w:rsid w:val="00714E85"/>
    <w:rsid w:val="007163FE"/>
    <w:rsid w:val="007164BE"/>
    <w:rsid w:val="00717243"/>
    <w:rsid w:val="00717440"/>
    <w:rsid w:val="0071772B"/>
    <w:rsid w:val="00717DCD"/>
    <w:rsid w:val="00717F93"/>
    <w:rsid w:val="00721CFA"/>
    <w:rsid w:val="0072270E"/>
    <w:rsid w:val="007227DB"/>
    <w:rsid w:val="00722900"/>
    <w:rsid w:val="0072372D"/>
    <w:rsid w:val="00723BE9"/>
    <w:rsid w:val="00723FD3"/>
    <w:rsid w:val="007244A6"/>
    <w:rsid w:val="0072488E"/>
    <w:rsid w:val="00724D10"/>
    <w:rsid w:val="00725259"/>
    <w:rsid w:val="00726DE2"/>
    <w:rsid w:val="00726FED"/>
    <w:rsid w:val="0073284C"/>
    <w:rsid w:val="00732B54"/>
    <w:rsid w:val="007339AB"/>
    <w:rsid w:val="00734C9F"/>
    <w:rsid w:val="00735B78"/>
    <w:rsid w:val="00735D9F"/>
    <w:rsid w:val="00735DB4"/>
    <w:rsid w:val="00735DB5"/>
    <w:rsid w:val="00736277"/>
    <w:rsid w:val="00736E15"/>
    <w:rsid w:val="00740847"/>
    <w:rsid w:val="00742FCA"/>
    <w:rsid w:val="007452DE"/>
    <w:rsid w:val="00746B89"/>
    <w:rsid w:val="00746ED1"/>
    <w:rsid w:val="007474D0"/>
    <w:rsid w:val="00747C1D"/>
    <w:rsid w:val="00747CA4"/>
    <w:rsid w:val="00750C02"/>
    <w:rsid w:val="00750C50"/>
    <w:rsid w:val="007519CE"/>
    <w:rsid w:val="0075220D"/>
    <w:rsid w:val="0075321D"/>
    <w:rsid w:val="00754123"/>
    <w:rsid w:val="0075573F"/>
    <w:rsid w:val="007564E3"/>
    <w:rsid w:val="00756D8C"/>
    <w:rsid w:val="00756E94"/>
    <w:rsid w:val="007579EC"/>
    <w:rsid w:val="00760320"/>
    <w:rsid w:val="0076040E"/>
    <w:rsid w:val="0076044C"/>
    <w:rsid w:val="00761143"/>
    <w:rsid w:val="0076176E"/>
    <w:rsid w:val="007628E1"/>
    <w:rsid w:val="00762C77"/>
    <w:rsid w:val="00762D99"/>
    <w:rsid w:val="00762FEE"/>
    <w:rsid w:val="00763C19"/>
    <w:rsid w:val="00763F6F"/>
    <w:rsid w:val="007648AA"/>
    <w:rsid w:val="00764CC8"/>
    <w:rsid w:val="00764E90"/>
    <w:rsid w:val="007657CB"/>
    <w:rsid w:val="00765F10"/>
    <w:rsid w:val="00766A1F"/>
    <w:rsid w:val="00767F79"/>
    <w:rsid w:val="00770008"/>
    <w:rsid w:val="00770104"/>
    <w:rsid w:val="00770D3C"/>
    <w:rsid w:val="007711A1"/>
    <w:rsid w:val="007716A5"/>
    <w:rsid w:val="0077473B"/>
    <w:rsid w:val="00774E4A"/>
    <w:rsid w:val="0077525C"/>
    <w:rsid w:val="007756A9"/>
    <w:rsid w:val="00775B05"/>
    <w:rsid w:val="00776EB7"/>
    <w:rsid w:val="0077752E"/>
    <w:rsid w:val="00777C3F"/>
    <w:rsid w:val="00777C49"/>
    <w:rsid w:val="00782B37"/>
    <w:rsid w:val="00783490"/>
    <w:rsid w:val="00784635"/>
    <w:rsid w:val="00784E65"/>
    <w:rsid w:val="00785410"/>
    <w:rsid w:val="00785725"/>
    <w:rsid w:val="00786E2D"/>
    <w:rsid w:val="0078719F"/>
    <w:rsid w:val="00791036"/>
    <w:rsid w:val="00792ECF"/>
    <w:rsid w:val="0079513E"/>
    <w:rsid w:val="00795709"/>
    <w:rsid w:val="0079716B"/>
    <w:rsid w:val="007977C2"/>
    <w:rsid w:val="00797FC4"/>
    <w:rsid w:val="007A1073"/>
    <w:rsid w:val="007A21EB"/>
    <w:rsid w:val="007A30A0"/>
    <w:rsid w:val="007A63BB"/>
    <w:rsid w:val="007A67DD"/>
    <w:rsid w:val="007A6FE9"/>
    <w:rsid w:val="007A73F5"/>
    <w:rsid w:val="007A7DDD"/>
    <w:rsid w:val="007B0615"/>
    <w:rsid w:val="007B0674"/>
    <w:rsid w:val="007B0758"/>
    <w:rsid w:val="007B0E87"/>
    <w:rsid w:val="007B21EC"/>
    <w:rsid w:val="007B4746"/>
    <w:rsid w:val="007B47CE"/>
    <w:rsid w:val="007B5C2D"/>
    <w:rsid w:val="007B6747"/>
    <w:rsid w:val="007C0349"/>
    <w:rsid w:val="007C25BF"/>
    <w:rsid w:val="007C2CD7"/>
    <w:rsid w:val="007C2DBA"/>
    <w:rsid w:val="007C470A"/>
    <w:rsid w:val="007C4925"/>
    <w:rsid w:val="007C5377"/>
    <w:rsid w:val="007C56C6"/>
    <w:rsid w:val="007C7F41"/>
    <w:rsid w:val="007D1629"/>
    <w:rsid w:val="007D1C69"/>
    <w:rsid w:val="007D322A"/>
    <w:rsid w:val="007D4448"/>
    <w:rsid w:val="007D4F91"/>
    <w:rsid w:val="007D5C20"/>
    <w:rsid w:val="007D5DB1"/>
    <w:rsid w:val="007D6EAB"/>
    <w:rsid w:val="007E0667"/>
    <w:rsid w:val="007E09DC"/>
    <w:rsid w:val="007E14E8"/>
    <w:rsid w:val="007E1513"/>
    <w:rsid w:val="007E2BA9"/>
    <w:rsid w:val="007E2BC2"/>
    <w:rsid w:val="007E4F82"/>
    <w:rsid w:val="007E57DB"/>
    <w:rsid w:val="007E606E"/>
    <w:rsid w:val="007E6AA4"/>
    <w:rsid w:val="007E6D16"/>
    <w:rsid w:val="007E6E96"/>
    <w:rsid w:val="007E7390"/>
    <w:rsid w:val="007E7F60"/>
    <w:rsid w:val="007F0969"/>
    <w:rsid w:val="007F1818"/>
    <w:rsid w:val="007F1C36"/>
    <w:rsid w:val="007F3525"/>
    <w:rsid w:val="007F43EB"/>
    <w:rsid w:val="007F538B"/>
    <w:rsid w:val="007F53D1"/>
    <w:rsid w:val="007F6247"/>
    <w:rsid w:val="007F6451"/>
    <w:rsid w:val="007F6E8E"/>
    <w:rsid w:val="007F712B"/>
    <w:rsid w:val="007F723A"/>
    <w:rsid w:val="007F7325"/>
    <w:rsid w:val="007F7D7C"/>
    <w:rsid w:val="007F7F67"/>
    <w:rsid w:val="008007EB"/>
    <w:rsid w:val="00800C6E"/>
    <w:rsid w:val="00801780"/>
    <w:rsid w:val="00802FC1"/>
    <w:rsid w:val="00803E21"/>
    <w:rsid w:val="008045CE"/>
    <w:rsid w:val="0080461D"/>
    <w:rsid w:val="008058E7"/>
    <w:rsid w:val="0080692B"/>
    <w:rsid w:val="00810B0A"/>
    <w:rsid w:val="00815CDA"/>
    <w:rsid w:val="008163FC"/>
    <w:rsid w:val="00817A53"/>
    <w:rsid w:val="00817C21"/>
    <w:rsid w:val="00821298"/>
    <w:rsid w:val="008217C5"/>
    <w:rsid w:val="00823AFB"/>
    <w:rsid w:val="00824AAE"/>
    <w:rsid w:val="008260B3"/>
    <w:rsid w:val="008276BF"/>
    <w:rsid w:val="00827A7D"/>
    <w:rsid w:val="00827CD5"/>
    <w:rsid w:val="00830072"/>
    <w:rsid w:val="00832CF0"/>
    <w:rsid w:val="0083631D"/>
    <w:rsid w:val="008365DB"/>
    <w:rsid w:val="008367BC"/>
    <w:rsid w:val="00836DF7"/>
    <w:rsid w:val="00837C45"/>
    <w:rsid w:val="00837CE5"/>
    <w:rsid w:val="00837CE7"/>
    <w:rsid w:val="00840A48"/>
    <w:rsid w:val="00842A03"/>
    <w:rsid w:val="00843158"/>
    <w:rsid w:val="00844B05"/>
    <w:rsid w:val="00844DF7"/>
    <w:rsid w:val="00844E39"/>
    <w:rsid w:val="00846D03"/>
    <w:rsid w:val="008474C0"/>
    <w:rsid w:val="0085217A"/>
    <w:rsid w:val="00853510"/>
    <w:rsid w:val="00854AA6"/>
    <w:rsid w:val="00854B3C"/>
    <w:rsid w:val="00855082"/>
    <w:rsid w:val="00855445"/>
    <w:rsid w:val="008556D6"/>
    <w:rsid w:val="00855EE3"/>
    <w:rsid w:val="008570D1"/>
    <w:rsid w:val="00857176"/>
    <w:rsid w:val="00857707"/>
    <w:rsid w:val="0085776C"/>
    <w:rsid w:val="008606F8"/>
    <w:rsid w:val="00860B60"/>
    <w:rsid w:val="0086108B"/>
    <w:rsid w:val="00863015"/>
    <w:rsid w:val="00863631"/>
    <w:rsid w:val="00863871"/>
    <w:rsid w:val="008640D4"/>
    <w:rsid w:val="008654B1"/>
    <w:rsid w:val="00866365"/>
    <w:rsid w:val="008663F5"/>
    <w:rsid w:val="00870400"/>
    <w:rsid w:val="00870689"/>
    <w:rsid w:val="00871E79"/>
    <w:rsid w:val="008723A3"/>
    <w:rsid w:val="00874FFC"/>
    <w:rsid w:val="0087505E"/>
    <w:rsid w:val="00876C4E"/>
    <w:rsid w:val="00876E40"/>
    <w:rsid w:val="008771FA"/>
    <w:rsid w:val="008805C7"/>
    <w:rsid w:val="00880DB6"/>
    <w:rsid w:val="008812DE"/>
    <w:rsid w:val="0088183E"/>
    <w:rsid w:val="008827AB"/>
    <w:rsid w:val="00882C28"/>
    <w:rsid w:val="00882DCB"/>
    <w:rsid w:val="008833C0"/>
    <w:rsid w:val="00883980"/>
    <w:rsid w:val="00883E39"/>
    <w:rsid w:val="00884212"/>
    <w:rsid w:val="00885670"/>
    <w:rsid w:val="00885864"/>
    <w:rsid w:val="00885E83"/>
    <w:rsid w:val="00886516"/>
    <w:rsid w:val="00887E5C"/>
    <w:rsid w:val="0089010C"/>
    <w:rsid w:val="00890180"/>
    <w:rsid w:val="008902E9"/>
    <w:rsid w:val="0089056D"/>
    <w:rsid w:val="00890964"/>
    <w:rsid w:val="008912EC"/>
    <w:rsid w:val="00894388"/>
    <w:rsid w:val="00894910"/>
    <w:rsid w:val="008954AA"/>
    <w:rsid w:val="0089634B"/>
    <w:rsid w:val="008963D2"/>
    <w:rsid w:val="008965F1"/>
    <w:rsid w:val="00896917"/>
    <w:rsid w:val="00896E14"/>
    <w:rsid w:val="008972B0"/>
    <w:rsid w:val="00897C30"/>
    <w:rsid w:val="008A0F07"/>
    <w:rsid w:val="008A117C"/>
    <w:rsid w:val="008A176E"/>
    <w:rsid w:val="008A2657"/>
    <w:rsid w:val="008A6934"/>
    <w:rsid w:val="008A73FB"/>
    <w:rsid w:val="008A7640"/>
    <w:rsid w:val="008B0143"/>
    <w:rsid w:val="008B02FD"/>
    <w:rsid w:val="008B0FAF"/>
    <w:rsid w:val="008B2223"/>
    <w:rsid w:val="008B330C"/>
    <w:rsid w:val="008B4DC5"/>
    <w:rsid w:val="008B68A2"/>
    <w:rsid w:val="008B7409"/>
    <w:rsid w:val="008B7B14"/>
    <w:rsid w:val="008B7B93"/>
    <w:rsid w:val="008C05D7"/>
    <w:rsid w:val="008C1610"/>
    <w:rsid w:val="008C1E84"/>
    <w:rsid w:val="008C2503"/>
    <w:rsid w:val="008C2DD3"/>
    <w:rsid w:val="008C3039"/>
    <w:rsid w:val="008C3918"/>
    <w:rsid w:val="008C43A2"/>
    <w:rsid w:val="008C44BA"/>
    <w:rsid w:val="008C4A55"/>
    <w:rsid w:val="008C56A5"/>
    <w:rsid w:val="008C6A41"/>
    <w:rsid w:val="008C707D"/>
    <w:rsid w:val="008C7360"/>
    <w:rsid w:val="008C7455"/>
    <w:rsid w:val="008C7CCD"/>
    <w:rsid w:val="008D0379"/>
    <w:rsid w:val="008D159C"/>
    <w:rsid w:val="008D16A0"/>
    <w:rsid w:val="008D23DA"/>
    <w:rsid w:val="008D2EF8"/>
    <w:rsid w:val="008D31F7"/>
    <w:rsid w:val="008D3273"/>
    <w:rsid w:val="008D3B29"/>
    <w:rsid w:val="008D518B"/>
    <w:rsid w:val="008D6B21"/>
    <w:rsid w:val="008D7B7A"/>
    <w:rsid w:val="008E00EA"/>
    <w:rsid w:val="008E042D"/>
    <w:rsid w:val="008E10DE"/>
    <w:rsid w:val="008E1D2C"/>
    <w:rsid w:val="008E20A0"/>
    <w:rsid w:val="008E485F"/>
    <w:rsid w:val="008E5060"/>
    <w:rsid w:val="008E51C3"/>
    <w:rsid w:val="008E5728"/>
    <w:rsid w:val="008E6297"/>
    <w:rsid w:val="008E646B"/>
    <w:rsid w:val="008F0CD2"/>
    <w:rsid w:val="008F154A"/>
    <w:rsid w:val="008F2E85"/>
    <w:rsid w:val="008F3A20"/>
    <w:rsid w:val="008F3C52"/>
    <w:rsid w:val="008F4D64"/>
    <w:rsid w:val="008F5ABD"/>
    <w:rsid w:val="008F5CB5"/>
    <w:rsid w:val="008F6257"/>
    <w:rsid w:val="008F6333"/>
    <w:rsid w:val="009019CD"/>
    <w:rsid w:val="009027EE"/>
    <w:rsid w:val="00903BD6"/>
    <w:rsid w:val="00903CAD"/>
    <w:rsid w:val="0090408E"/>
    <w:rsid w:val="00904744"/>
    <w:rsid w:val="00904E0A"/>
    <w:rsid w:val="00905158"/>
    <w:rsid w:val="00910309"/>
    <w:rsid w:val="00911643"/>
    <w:rsid w:val="00911F9B"/>
    <w:rsid w:val="009124FA"/>
    <w:rsid w:val="00914297"/>
    <w:rsid w:val="009153D8"/>
    <w:rsid w:val="009159FD"/>
    <w:rsid w:val="00915F6C"/>
    <w:rsid w:val="00916E65"/>
    <w:rsid w:val="0092199C"/>
    <w:rsid w:val="00922CAD"/>
    <w:rsid w:val="00922EE8"/>
    <w:rsid w:val="00923485"/>
    <w:rsid w:val="0092433F"/>
    <w:rsid w:val="009244EA"/>
    <w:rsid w:val="00925103"/>
    <w:rsid w:val="009264AB"/>
    <w:rsid w:val="00926AA5"/>
    <w:rsid w:val="00930944"/>
    <w:rsid w:val="009315DA"/>
    <w:rsid w:val="00931EE0"/>
    <w:rsid w:val="00933DD5"/>
    <w:rsid w:val="00933FC0"/>
    <w:rsid w:val="009347F1"/>
    <w:rsid w:val="00934886"/>
    <w:rsid w:val="00935AA5"/>
    <w:rsid w:val="00935F1C"/>
    <w:rsid w:val="009361BF"/>
    <w:rsid w:val="00936689"/>
    <w:rsid w:val="0093687B"/>
    <w:rsid w:val="00937E6F"/>
    <w:rsid w:val="009400D4"/>
    <w:rsid w:val="009421C4"/>
    <w:rsid w:val="00943688"/>
    <w:rsid w:val="00943969"/>
    <w:rsid w:val="00943CC2"/>
    <w:rsid w:val="009440A5"/>
    <w:rsid w:val="00945F0C"/>
    <w:rsid w:val="00945F11"/>
    <w:rsid w:val="00945FBA"/>
    <w:rsid w:val="0094724C"/>
    <w:rsid w:val="009473E4"/>
    <w:rsid w:val="009479D6"/>
    <w:rsid w:val="00947CDA"/>
    <w:rsid w:val="009502FB"/>
    <w:rsid w:val="009503F3"/>
    <w:rsid w:val="00950706"/>
    <w:rsid w:val="00951A12"/>
    <w:rsid w:val="00951CDD"/>
    <w:rsid w:val="00952085"/>
    <w:rsid w:val="00953ECA"/>
    <w:rsid w:val="009557F4"/>
    <w:rsid w:val="009562CF"/>
    <w:rsid w:val="0095680C"/>
    <w:rsid w:val="009601EA"/>
    <w:rsid w:val="0096092D"/>
    <w:rsid w:val="00960ADC"/>
    <w:rsid w:val="00960D4C"/>
    <w:rsid w:val="00962622"/>
    <w:rsid w:val="00962ACF"/>
    <w:rsid w:val="009631C0"/>
    <w:rsid w:val="009631EE"/>
    <w:rsid w:val="009649B4"/>
    <w:rsid w:val="00965104"/>
    <w:rsid w:val="00965ABF"/>
    <w:rsid w:val="0096781F"/>
    <w:rsid w:val="00967C72"/>
    <w:rsid w:val="0097035A"/>
    <w:rsid w:val="009725A0"/>
    <w:rsid w:val="00972773"/>
    <w:rsid w:val="00972A00"/>
    <w:rsid w:val="009732DC"/>
    <w:rsid w:val="00973361"/>
    <w:rsid w:val="00973B5C"/>
    <w:rsid w:val="0097500C"/>
    <w:rsid w:val="009753DE"/>
    <w:rsid w:val="009801F9"/>
    <w:rsid w:val="00980CB9"/>
    <w:rsid w:val="009811BE"/>
    <w:rsid w:val="009820C1"/>
    <w:rsid w:val="00982C17"/>
    <w:rsid w:val="00982E3D"/>
    <w:rsid w:val="00984CEF"/>
    <w:rsid w:val="009869A8"/>
    <w:rsid w:val="009869D7"/>
    <w:rsid w:val="0099062A"/>
    <w:rsid w:val="00990713"/>
    <w:rsid w:val="00990BD3"/>
    <w:rsid w:val="00991C70"/>
    <w:rsid w:val="00992D8C"/>
    <w:rsid w:val="00993350"/>
    <w:rsid w:val="00993697"/>
    <w:rsid w:val="00993A8E"/>
    <w:rsid w:val="00993BAB"/>
    <w:rsid w:val="00994EBF"/>
    <w:rsid w:val="00995A75"/>
    <w:rsid w:val="00995D20"/>
    <w:rsid w:val="00996059"/>
    <w:rsid w:val="009971B0"/>
    <w:rsid w:val="009972ED"/>
    <w:rsid w:val="0099749B"/>
    <w:rsid w:val="009A1F46"/>
    <w:rsid w:val="009A2381"/>
    <w:rsid w:val="009A2FE6"/>
    <w:rsid w:val="009A4148"/>
    <w:rsid w:val="009A5F79"/>
    <w:rsid w:val="009A6851"/>
    <w:rsid w:val="009A7934"/>
    <w:rsid w:val="009A7BD7"/>
    <w:rsid w:val="009B160E"/>
    <w:rsid w:val="009B2AE6"/>
    <w:rsid w:val="009B3139"/>
    <w:rsid w:val="009B4E05"/>
    <w:rsid w:val="009B5AF5"/>
    <w:rsid w:val="009B6725"/>
    <w:rsid w:val="009B6AEE"/>
    <w:rsid w:val="009B7C01"/>
    <w:rsid w:val="009C1602"/>
    <w:rsid w:val="009C2004"/>
    <w:rsid w:val="009C3292"/>
    <w:rsid w:val="009C35E4"/>
    <w:rsid w:val="009C4157"/>
    <w:rsid w:val="009C4DE7"/>
    <w:rsid w:val="009C52B6"/>
    <w:rsid w:val="009C55CB"/>
    <w:rsid w:val="009C578C"/>
    <w:rsid w:val="009C58B8"/>
    <w:rsid w:val="009D143D"/>
    <w:rsid w:val="009D18EF"/>
    <w:rsid w:val="009D1C85"/>
    <w:rsid w:val="009D3148"/>
    <w:rsid w:val="009D3C13"/>
    <w:rsid w:val="009D44FE"/>
    <w:rsid w:val="009D7C7F"/>
    <w:rsid w:val="009E026B"/>
    <w:rsid w:val="009E05DE"/>
    <w:rsid w:val="009E0CBA"/>
    <w:rsid w:val="009E13A3"/>
    <w:rsid w:val="009E3888"/>
    <w:rsid w:val="009E489C"/>
    <w:rsid w:val="009E4FFE"/>
    <w:rsid w:val="009E5582"/>
    <w:rsid w:val="009E69F0"/>
    <w:rsid w:val="009E70A1"/>
    <w:rsid w:val="009F07D5"/>
    <w:rsid w:val="009F0F9A"/>
    <w:rsid w:val="009F10D2"/>
    <w:rsid w:val="009F1528"/>
    <w:rsid w:val="009F2633"/>
    <w:rsid w:val="009F34E6"/>
    <w:rsid w:val="009F35CA"/>
    <w:rsid w:val="009F3642"/>
    <w:rsid w:val="009F3B2E"/>
    <w:rsid w:val="009F5894"/>
    <w:rsid w:val="009F6E07"/>
    <w:rsid w:val="009F6E1B"/>
    <w:rsid w:val="009F7BC3"/>
    <w:rsid w:val="00A00C2F"/>
    <w:rsid w:val="00A00D59"/>
    <w:rsid w:val="00A0236F"/>
    <w:rsid w:val="00A0289E"/>
    <w:rsid w:val="00A028C6"/>
    <w:rsid w:val="00A02B9D"/>
    <w:rsid w:val="00A02BBE"/>
    <w:rsid w:val="00A03289"/>
    <w:rsid w:val="00A03A2F"/>
    <w:rsid w:val="00A03D9B"/>
    <w:rsid w:val="00A04452"/>
    <w:rsid w:val="00A044A7"/>
    <w:rsid w:val="00A057A8"/>
    <w:rsid w:val="00A062B8"/>
    <w:rsid w:val="00A06974"/>
    <w:rsid w:val="00A06DAC"/>
    <w:rsid w:val="00A070BA"/>
    <w:rsid w:val="00A07127"/>
    <w:rsid w:val="00A100E1"/>
    <w:rsid w:val="00A10E72"/>
    <w:rsid w:val="00A11A5E"/>
    <w:rsid w:val="00A1261B"/>
    <w:rsid w:val="00A1429F"/>
    <w:rsid w:val="00A15F20"/>
    <w:rsid w:val="00A17048"/>
    <w:rsid w:val="00A20284"/>
    <w:rsid w:val="00A217FC"/>
    <w:rsid w:val="00A21C32"/>
    <w:rsid w:val="00A237E3"/>
    <w:rsid w:val="00A23A2F"/>
    <w:rsid w:val="00A24F08"/>
    <w:rsid w:val="00A25034"/>
    <w:rsid w:val="00A25327"/>
    <w:rsid w:val="00A259F5"/>
    <w:rsid w:val="00A26AB5"/>
    <w:rsid w:val="00A300ED"/>
    <w:rsid w:val="00A31514"/>
    <w:rsid w:val="00A3189C"/>
    <w:rsid w:val="00A31E3D"/>
    <w:rsid w:val="00A3416A"/>
    <w:rsid w:val="00A34599"/>
    <w:rsid w:val="00A367F5"/>
    <w:rsid w:val="00A3784E"/>
    <w:rsid w:val="00A40158"/>
    <w:rsid w:val="00A40FAD"/>
    <w:rsid w:val="00A4183B"/>
    <w:rsid w:val="00A4186F"/>
    <w:rsid w:val="00A41DEB"/>
    <w:rsid w:val="00A42373"/>
    <w:rsid w:val="00A43B48"/>
    <w:rsid w:val="00A44216"/>
    <w:rsid w:val="00A44BD0"/>
    <w:rsid w:val="00A4525D"/>
    <w:rsid w:val="00A45A98"/>
    <w:rsid w:val="00A45BF1"/>
    <w:rsid w:val="00A471A3"/>
    <w:rsid w:val="00A47397"/>
    <w:rsid w:val="00A47D76"/>
    <w:rsid w:val="00A503B0"/>
    <w:rsid w:val="00A52E4E"/>
    <w:rsid w:val="00A53831"/>
    <w:rsid w:val="00A541D0"/>
    <w:rsid w:val="00A547EA"/>
    <w:rsid w:val="00A56155"/>
    <w:rsid w:val="00A56197"/>
    <w:rsid w:val="00A56663"/>
    <w:rsid w:val="00A57BEC"/>
    <w:rsid w:val="00A6136C"/>
    <w:rsid w:val="00A63099"/>
    <w:rsid w:val="00A63B92"/>
    <w:rsid w:val="00A64408"/>
    <w:rsid w:val="00A64B9F"/>
    <w:rsid w:val="00A656D8"/>
    <w:rsid w:val="00A65B87"/>
    <w:rsid w:val="00A65CD8"/>
    <w:rsid w:val="00A674B7"/>
    <w:rsid w:val="00A678BD"/>
    <w:rsid w:val="00A67981"/>
    <w:rsid w:val="00A70B59"/>
    <w:rsid w:val="00A70B76"/>
    <w:rsid w:val="00A72832"/>
    <w:rsid w:val="00A73568"/>
    <w:rsid w:val="00A737C2"/>
    <w:rsid w:val="00A73867"/>
    <w:rsid w:val="00A73B78"/>
    <w:rsid w:val="00A754F5"/>
    <w:rsid w:val="00A816A0"/>
    <w:rsid w:val="00A8267D"/>
    <w:rsid w:val="00A8303B"/>
    <w:rsid w:val="00A83FAE"/>
    <w:rsid w:val="00A849B2"/>
    <w:rsid w:val="00A85496"/>
    <w:rsid w:val="00A854B2"/>
    <w:rsid w:val="00A87689"/>
    <w:rsid w:val="00A90FD1"/>
    <w:rsid w:val="00A924C2"/>
    <w:rsid w:val="00A93A46"/>
    <w:rsid w:val="00A948D6"/>
    <w:rsid w:val="00A94A50"/>
    <w:rsid w:val="00A953DF"/>
    <w:rsid w:val="00A957F2"/>
    <w:rsid w:val="00A9612C"/>
    <w:rsid w:val="00A968CB"/>
    <w:rsid w:val="00A976C1"/>
    <w:rsid w:val="00AA0577"/>
    <w:rsid w:val="00AA0C3A"/>
    <w:rsid w:val="00AA1C2A"/>
    <w:rsid w:val="00AA1D01"/>
    <w:rsid w:val="00AA26C5"/>
    <w:rsid w:val="00AA37CC"/>
    <w:rsid w:val="00AA3B5B"/>
    <w:rsid w:val="00AA543E"/>
    <w:rsid w:val="00AA574A"/>
    <w:rsid w:val="00AA6ECC"/>
    <w:rsid w:val="00AA7003"/>
    <w:rsid w:val="00AA7BF3"/>
    <w:rsid w:val="00AA7CAB"/>
    <w:rsid w:val="00AB017F"/>
    <w:rsid w:val="00AB07C3"/>
    <w:rsid w:val="00AB18C5"/>
    <w:rsid w:val="00AB211F"/>
    <w:rsid w:val="00AB361C"/>
    <w:rsid w:val="00AB443C"/>
    <w:rsid w:val="00AB4862"/>
    <w:rsid w:val="00AB4882"/>
    <w:rsid w:val="00AB7A21"/>
    <w:rsid w:val="00AC123C"/>
    <w:rsid w:val="00AC13E8"/>
    <w:rsid w:val="00AC1536"/>
    <w:rsid w:val="00AC1576"/>
    <w:rsid w:val="00AC158C"/>
    <w:rsid w:val="00AC278B"/>
    <w:rsid w:val="00AC3064"/>
    <w:rsid w:val="00AC31FF"/>
    <w:rsid w:val="00AC3CDF"/>
    <w:rsid w:val="00AC5EEA"/>
    <w:rsid w:val="00AC61B7"/>
    <w:rsid w:val="00AC6DCB"/>
    <w:rsid w:val="00AC779D"/>
    <w:rsid w:val="00AC7BCC"/>
    <w:rsid w:val="00AD15C2"/>
    <w:rsid w:val="00AD259C"/>
    <w:rsid w:val="00AD282E"/>
    <w:rsid w:val="00AD28C4"/>
    <w:rsid w:val="00AD3331"/>
    <w:rsid w:val="00AD3D84"/>
    <w:rsid w:val="00AD3F2E"/>
    <w:rsid w:val="00AD4987"/>
    <w:rsid w:val="00AD5281"/>
    <w:rsid w:val="00AD6F6F"/>
    <w:rsid w:val="00AD7D5A"/>
    <w:rsid w:val="00AD7DA5"/>
    <w:rsid w:val="00AE1868"/>
    <w:rsid w:val="00AE1DE7"/>
    <w:rsid w:val="00AE22DF"/>
    <w:rsid w:val="00AE29F4"/>
    <w:rsid w:val="00AE3384"/>
    <w:rsid w:val="00AE4ED0"/>
    <w:rsid w:val="00AE5609"/>
    <w:rsid w:val="00AF0503"/>
    <w:rsid w:val="00AF0768"/>
    <w:rsid w:val="00AF21AE"/>
    <w:rsid w:val="00AF2F0E"/>
    <w:rsid w:val="00AF3026"/>
    <w:rsid w:val="00AF4A87"/>
    <w:rsid w:val="00AF52FA"/>
    <w:rsid w:val="00AF5B42"/>
    <w:rsid w:val="00AF5B7E"/>
    <w:rsid w:val="00AF623D"/>
    <w:rsid w:val="00AF6FB6"/>
    <w:rsid w:val="00AF79B6"/>
    <w:rsid w:val="00B008D5"/>
    <w:rsid w:val="00B02FAA"/>
    <w:rsid w:val="00B03E96"/>
    <w:rsid w:val="00B04368"/>
    <w:rsid w:val="00B05A71"/>
    <w:rsid w:val="00B05D24"/>
    <w:rsid w:val="00B06638"/>
    <w:rsid w:val="00B068AB"/>
    <w:rsid w:val="00B06A65"/>
    <w:rsid w:val="00B06E69"/>
    <w:rsid w:val="00B10359"/>
    <w:rsid w:val="00B109B5"/>
    <w:rsid w:val="00B12854"/>
    <w:rsid w:val="00B128DE"/>
    <w:rsid w:val="00B12C74"/>
    <w:rsid w:val="00B13E74"/>
    <w:rsid w:val="00B1457A"/>
    <w:rsid w:val="00B14FD1"/>
    <w:rsid w:val="00B16C82"/>
    <w:rsid w:val="00B17850"/>
    <w:rsid w:val="00B205EB"/>
    <w:rsid w:val="00B21E8F"/>
    <w:rsid w:val="00B225DA"/>
    <w:rsid w:val="00B241BE"/>
    <w:rsid w:val="00B242B2"/>
    <w:rsid w:val="00B246DD"/>
    <w:rsid w:val="00B26192"/>
    <w:rsid w:val="00B30457"/>
    <w:rsid w:val="00B30897"/>
    <w:rsid w:val="00B324F4"/>
    <w:rsid w:val="00B329E7"/>
    <w:rsid w:val="00B33673"/>
    <w:rsid w:val="00B35CE9"/>
    <w:rsid w:val="00B36743"/>
    <w:rsid w:val="00B36B1F"/>
    <w:rsid w:val="00B36EC9"/>
    <w:rsid w:val="00B376E1"/>
    <w:rsid w:val="00B37D65"/>
    <w:rsid w:val="00B37D81"/>
    <w:rsid w:val="00B40597"/>
    <w:rsid w:val="00B4148F"/>
    <w:rsid w:val="00B44F29"/>
    <w:rsid w:val="00B45C8C"/>
    <w:rsid w:val="00B46C3A"/>
    <w:rsid w:val="00B50967"/>
    <w:rsid w:val="00B5128B"/>
    <w:rsid w:val="00B51B63"/>
    <w:rsid w:val="00B52442"/>
    <w:rsid w:val="00B53D22"/>
    <w:rsid w:val="00B54939"/>
    <w:rsid w:val="00B55566"/>
    <w:rsid w:val="00B566FF"/>
    <w:rsid w:val="00B56920"/>
    <w:rsid w:val="00B569DE"/>
    <w:rsid w:val="00B57EDB"/>
    <w:rsid w:val="00B60E3F"/>
    <w:rsid w:val="00B60F57"/>
    <w:rsid w:val="00B62687"/>
    <w:rsid w:val="00B628F0"/>
    <w:rsid w:val="00B63B53"/>
    <w:rsid w:val="00B6409D"/>
    <w:rsid w:val="00B64875"/>
    <w:rsid w:val="00B64BF7"/>
    <w:rsid w:val="00B661E6"/>
    <w:rsid w:val="00B67FD4"/>
    <w:rsid w:val="00B70989"/>
    <w:rsid w:val="00B709BE"/>
    <w:rsid w:val="00B710C3"/>
    <w:rsid w:val="00B71343"/>
    <w:rsid w:val="00B717F8"/>
    <w:rsid w:val="00B72CCC"/>
    <w:rsid w:val="00B72F56"/>
    <w:rsid w:val="00B733EB"/>
    <w:rsid w:val="00B738FC"/>
    <w:rsid w:val="00B73C78"/>
    <w:rsid w:val="00B73EC7"/>
    <w:rsid w:val="00B744BF"/>
    <w:rsid w:val="00B7483E"/>
    <w:rsid w:val="00B751A2"/>
    <w:rsid w:val="00B757A0"/>
    <w:rsid w:val="00B76531"/>
    <w:rsid w:val="00B76BF0"/>
    <w:rsid w:val="00B76F0C"/>
    <w:rsid w:val="00B77651"/>
    <w:rsid w:val="00B77B06"/>
    <w:rsid w:val="00B834F5"/>
    <w:rsid w:val="00B83F6A"/>
    <w:rsid w:val="00B84C15"/>
    <w:rsid w:val="00B866A4"/>
    <w:rsid w:val="00B90030"/>
    <w:rsid w:val="00B902E6"/>
    <w:rsid w:val="00B90D24"/>
    <w:rsid w:val="00B91141"/>
    <w:rsid w:val="00B915C2"/>
    <w:rsid w:val="00B917F7"/>
    <w:rsid w:val="00B937EB"/>
    <w:rsid w:val="00B9392B"/>
    <w:rsid w:val="00B94292"/>
    <w:rsid w:val="00B955D4"/>
    <w:rsid w:val="00B95D6D"/>
    <w:rsid w:val="00B9733E"/>
    <w:rsid w:val="00BA0086"/>
    <w:rsid w:val="00BA1093"/>
    <w:rsid w:val="00BA16EC"/>
    <w:rsid w:val="00BA1EC8"/>
    <w:rsid w:val="00BA237C"/>
    <w:rsid w:val="00BA385F"/>
    <w:rsid w:val="00BA3ED8"/>
    <w:rsid w:val="00BA40CC"/>
    <w:rsid w:val="00BA678D"/>
    <w:rsid w:val="00BA6B2E"/>
    <w:rsid w:val="00BA74E5"/>
    <w:rsid w:val="00BB0C8F"/>
    <w:rsid w:val="00BB0F94"/>
    <w:rsid w:val="00BB24E6"/>
    <w:rsid w:val="00BB3F12"/>
    <w:rsid w:val="00BB590B"/>
    <w:rsid w:val="00BC0063"/>
    <w:rsid w:val="00BC09A8"/>
    <w:rsid w:val="00BC18F2"/>
    <w:rsid w:val="00BC1CFF"/>
    <w:rsid w:val="00BC1DB3"/>
    <w:rsid w:val="00BC42FE"/>
    <w:rsid w:val="00BC5278"/>
    <w:rsid w:val="00BC5AF7"/>
    <w:rsid w:val="00BC5EF8"/>
    <w:rsid w:val="00BD086B"/>
    <w:rsid w:val="00BD2191"/>
    <w:rsid w:val="00BD2482"/>
    <w:rsid w:val="00BD2E25"/>
    <w:rsid w:val="00BD43D4"/>
    <w:rsid w:val="00BD5D57"/>
    <w:rsid w:val="00BD669F"/>
    <w:rsid w:val="00BE04B4"/>
    <w:rsid w:val="00BE09C1"/>
    <w:rsid w:val="00BE0C87"/>
    <w:rsid w:val="00BE163F"/>
    <w:rsid w:val="00BE3645"/>
    <w:rsid w:val="00BE4216"/>
    <w:rsid w:val="00BE645A"/>
    <w:rsid w:val="00BE6681"/>
    <w:rsid w:val="00BE7BCE"/>
    <w:rsid w:val="00BF03BF"/>
    <w:rsid w:val="00BF0836"/>
    <w:rsid w:val="00BF0989"/>
    <w:rsid w:val="00BF1508"/>
    <w:rsid w:val="00BF1519"/>
    <w:rsid w:val="00BF1D36"/>
    <w:rsid w:val="00BF21E6"/>
    <w:rsid w:val="00BF2BC9"/>
    <w:rsid w:val="00BF336F"/>
    <w:rsid w:val="00BF3E8D"/>
    <w:rsid w:val="00BF48BE"/>
    <w:rsid w:val="00BF4F8C"/>
    <w:rsid w:val="00BF57A9"/>
    <w:rsid w:val="00BF7715"/>
    <w:rsid w:val="00C00376"/>
    <w:rsid w:val="00C003A0"/>
    <w:rsid w:val="00C00713"/>
    <w:rsid w:val="00C00893"/>
    <w:rsid w:val="00C01FCF"/>
    <w:rsid w:val="00C028E1"/>
    <w:rsid w:val="00C02A0A"/>
    <w:rsid w:val="00C0318D"/>
    <w:rsid w:val="00C045C8"/>
    <w:rsid w:val="00C048C9"/>
    <w:rsid w:val="00C04BEA"/>
    <w:rsid w:val="00C0507D"/>
    <w:rsid w:val="00C05334"/>
    <w:rsid w:val="00C06004"/>
    <w:rsid w:val="00C075F1"/>
    <w:rsid w:val="00C076C8"/>
    <w:rsid w:val="00C07706"/>
    <w:rsid w:val="00C07F40"/>
    <w:rsid w:val="00C10837"/>
    <w:rsid w:val="00C116E2"/>
    <w:rsid w:val="00C117BB"/>
    <w:rsid w:val="00C11AAB"/>
    <w:rsid w:val="00C11DD2"/>
    <w:rsid w:val="00C135E5"/>
    <w:rsid w:val="00C15292"/>
    <w:rsid w:val="00C16FB3"/>
    <w:rsid w:val="00C1700D"/>
    <w:rsid w:val="00C174CF"/>
    <w:rsid w:val="00C1750D"/>
    <w:rsid w:val="00C17A09"/>
    <w:rsid w:val="00C22992"/>
    <w:rsid w:val="00C236F0"/>
    <w:rsid w:val="00C2480E"/>
    <w:rsid w:val="00C2574B"/>
    <w:rsid w:val="00C25ADD"/>
    <w:rsid w:val="00C26448"/>
    <w:rsid w:val="00C268DF"/>
    <w:rsid w:val="00C27096"/>
    <w:rsid w:val="00C27A8B"/>
    <w:rsid w:val="00C30B63"/>
    <w:rsid w:val="00C31623"/>
    <w:rsid w:val="00C31DD3"/>
    <w:rsid w:val="00C32437"/>
    <w:rsid w:val="00C32862"/>
    <w:rsid w:val="00C32AC9"/>
    <w:rsid w:val="00C32D5F"/>
    <w:rsid w:val="00C32EC5"/>
    <w:rsid w:val="00C336D0"/>
    <w:rsid w:val="00C33B74"/>
    <w:rsid w:val="00C33CD2"/>
    <w:rsid w:val="00C3517E"/>
    <w:rsid w:val="00C3579A"/>
    <w:rsid w:val="00C35DBC"/>
    <w:rsid w:val="00C40098"/>
    <w:rsid w:val="00C40300"/>
    <w:rsid w:val="00C4041B"/>
    <w:rsid w:val="00C40ECA"/>
    <w:rsid w:val="00C421F8"/>
    <w:rsid w:val="00C424F7"/>
    <w:rsid w:val="00C428D4"/>
    <w:rsid w:val="00C429FE"/>
    <w:rsid w:val="00C42F50"/>
    <w:rsid w:val="00C435C9"/>
    <w:rsid w:val="00C43F7C"/>
    <w:rsid w:val="00C43F81"/>
    <w:rsid w:val="00C44859"/>
    <w:rsid w:val="00C4590E"/>
    <w:rsid w:val="00C46162"/>
    <w:rsid w:val="00C46DD2"/>
    <w:rsid w:val="00C5051A"/>
    <w:rsid w:val="00C50765"/>
    <w:rsid w:val="00C50AC4"/>
    <w:rsid w:val="00C50ED2"/>
    <w:rsid w:val="00C52021"/>
    <w:rsid w:val="00C533C9"/>
    <w:rsid w:val="00C5344B"/>
    <w:rsid w:val="00C53F93"/>
    <w:rsid w:val="00C54F2F"/>
    <w:rsid w:val="00C5542B"/>
    <w:rsid w:val="00C56A99"/>
    <w:rsid w:val="00C56BD5"/>
    <w:rsid w:val="00C56D44"/>
    <w:rsid w:val="00C5795F"/>
    <w:rsid w:val="00C607F4"/>
    <w:rsid w:val="00C60A2D"/>
    <w:rsid w:val="00C61311"/>
    <w:rsid w:val="00C61849"/>
    <w:rsid w:val="00C618C3"/>
    <w:rsid w:val="00C62450"/>
    <w:rsid w:val="00C6279D"/>
    <w:rsid w:val="00C62D42"/>
    <w:rsid w:val="00C6406A"/>
    <w:rsid w:val="00C642E9"/>
    <w:rsid w:val="00C66239"/>
    <w:rsid w:val="00C6638D"/>
    <w:rsid w:val="00C6643E"/>
    <w:rsid w:val="00C66E09"/>
    <w:rsid w:val="00C67045"/>
    <w:rsid w:val="00C673E3"/>
    <w:rsid w:val="00C70041"/>
    <w:rsid w:val="00C70DCC"/>
    <w:rsid w:val="00C7171C"/>
    <w:rsid w:val="00C71A84"/>
    <w:rsid w:val="00C71E10"/>
    <w:rsid w:val="00C73474"/>
    <w:rsid w:val="00C74731"/>
    <w:rsid w:val="00C75700"/>
    <w:rsid w:val="00C77143"/>
    <w:rsid w:val="00C77246"/>
    <w:rsid w:val="00C77483"/>
    <w:rsid w:val="00C7775D"/>
    <w:rsid w:val="00C77D96"/>
    <w:rsid w:val="00C80D4E"/>
    <w:rsid w:val="00C816CB"/>
    <w:rsid w:val="00C81F52"/>
    <w:rsid w:val="00C82191"/>
    <w:rsid w:val="00C82A5D"/>
    <w:rsid w:val="00C82DB7"/>
    <w:rsid w:val="00C834C3"/>
    <w:rsid w:val="00C8351B"/>
    <w:rsid w:val="00C839C3"/>
    <w:rsid w:val="00C83E99"/>
    <w:rsid w:val="00C84964"/>
    <w:rsid w:val="00C84F06"/>
    <w:rsid w:val="00C86ECF"/>
    <w:rsid w:val="00C90060"/>
    <w:rsid w:val="00C90275"/>
    <w:rsid w:val="00C914AE"/>
    <w:rsid w:val="00C91C71"/>
    <w:rsid w:val="00C92595"/>
    <w:rsid w:val="00C933DF"/>
    <w:rsid w:val="00C934EF"/>
    <w:rsid w:val="00C9373E"/>
    <w:rsid w:val="00C94B5A"/>
    <w:rsid w:val="00C95421"/>
    <w:rsid w:val="00C9590B"/>
    <w:rsid w:val="00C972BF"/>
    <w:rsid w:val="00C978B4"/>
    <w:rsid w:val="00CA009D"/>
    <w:rsid w:val="00CA502C"/>
    <w:rsid w:val="00CA51E7"/>
    <w:rsid w:val="00CA6524"/>
    <w:rsid w:val="00CA7BAA"/>
    <w:rsid w:val="00CB0DBC"/>
    <w:rsid w:val="00CB0EAB"/>
    <w:rsid w:val="00CB269F"/>
    <w:rsid w:val="00CB2968"/>
    <w:rsid w:val="00CB37DC"/>
    <w:rsid w:val="00CB43E2"/>
    <w:rsid w:val="00CB48F0"/>
    <w:rsid w:val="00CB5970"/>
    <w:rsid w:val="00CB5B52"/>
    <w:rsid w:val="00CB60EF"/>
    <w:rsid w:val="00CB63A9"/>
    <w:rsid w:val="00CB7149"/>
    <w:rsid w:val="00CB73AE"/>
    <w:rsid w:val="00CC09EC"/>
    <w:rsid w:val="00CC0A0D"/>
    <w:rsid w:val="00CC1FF6"/>
    <w:rsid w:val="00CC2EC7"/>
    <w:rsid w:val="00CC3699"/>
    <w:rsid w:val="00CC4335"/>
    <w:rsid w:val="00CC5C21"/>
    <w:rsid w:val="00CC5F88"/>
    <w:rsid w:val="00CC690B"/>
    <w:rsid w:val="00CC6C2A"/>
    <w:rsid w:val="00CD0055"/>
    <w:rsid w:val="00CD0503"/>
    <w:rsid w:val="00CD151C"/>
    <w:rsid w:val="00CD1B5A"/>
    <w:rsid w:val="00CD233E"/>
    <w:rsid w:val="00CD2E43"/>
    <w:rsid w:val="00CD3AB5"/>
    <w:rsid w:val="00CD70AA"/>
    <w:rsid w:val="00CD71CA"/>
    <w:rsid w:val="00CD7809"/>
    <w:rsid w:val="00CE1396"/>
    <w:rsid w:val="00CE1E80"/>
    <w:rsid w:val="00CE2E34"/>
    <w:rsid w:val="00CE3409"/>
    <w:rsid w:val="00CE6257"/>
    <w:rsid w:val="00CE650C"/>
    <w:rsid w:val="00CE6FB8"/>
    <w:rsid w:val="00CE74CB"/>
    <w:rsid w:val="00CE781B"/>
    <w:rsid w:val="00CF033D"/>
    <w:rsid w:val="00CF178D"/>
    <w:rsid w:val="00CF1DBC"/>
    <w:rsid w:val="00CF21C6"/>
    <w:rsid w:val="00CF21DA"/>
    <w:rsid w:val="00CF25FF"/>
    <w:rsid w:val="00CF2922"/>
    <w:rsid w:val="00CF2FFE"/>
    <w:rsid w:val="00CF47CC"/>
    <w:rsid w:val="00CF5F9E"/>
    <w:rsid w:val="00CF6299"/>
    <w:rsid w:val="00CF6C3A"/>
    <w:rsid w:val="00CF7159"/>
    <w:rsid w:val="00CF74C8"/>
    <w:rsid w:val="00D015BA"/>
    <w:rsid w:val="00D021FF"/>
    <w:rsid w:val="00D02534"/>
    <w:rsid w:val="00D032DB"/>
    <w:rsid w:val="00D03BC2"/>
    <w:rsid w:val="00D03C7A"/>
    <w:rsid w:val="00D041C0"/>
    <w:rsid w:val="00D04BB9"/>
    <w:rsid w:val="00D064A8"/>
    <w:rsid w:val="00D06CD2"/>
    <w:rsid w:val="00D073C2"/>
    <w:rsid w:val="00D07541"/>
    <w:rsid w:val="00D07ED4"/>
    <w:rsid w:val="00D12665"/>
    <w:rsid w:val="00D12D35"/>
    <w:rsid w:val="00D133E0"/>
    <w:rsid w:val="00D13962"/>
    <w:rsid w:val="00D13A2F"/>
    <w:rsid w:val="00D151CA"/>
    <w:rsid w:val="00D16975"/>
    <w:rsid w:val="00D173C4"/>
    <w:rsid w:val="00D17912"/>
    <w:rsid w:val="00D17A01"/>
    <w:rsid w:val="00D20097"/>
    <w:rsid w:val="00D20CD0"/>
    <w:rsid w:val="00D21A0C"/>
    <w:rsid w:val="00D22692"/>
    <w:rsid w:val="00D23A4F"/>
    <w:rsid w:val="00D260F6"/>
    <w:rsid w:val="00D2692E"/>
    <w:rsid w:val="00D27176"/>
    <w:rsid w:val="00D30845"/>
    <w:rsid w:val="00D31DB8"/>
    <w:rsid w:val="00D320A1"/>
    <w:rsid w:val="00D3394E"/>
    <w:rsid w:val="00D3400D"/>
    <w:rsid w:val="00D3480C"/>
    <w:rsid w:val="00D348B6"/>
    <w:rsid w:val="00D34D90"/>
    <w:rsid w:val="00D3537A"/>
    <w:rsid w:val="00D366D0"/>
    <w:rsid w:val="00D366EB"/>
    <w:rsid w:val="00D36A7A"/>
    <w:rsid w:val="00D37347"/>
    <w:rsid w:val="00D375F9"/>
    <w:rsid w:val="00D37B01"/>
    <w:rsid w:val="00D40730"/>
    <w:rsid w:val="00D427DA"/>
    <w:rsid w:val="00D42AB0"/>
    <w:rsid w:val="00D4323F"/>
    <w:rsid w:val="00D44218"/>
    <w:rsid w:val="00D443EC"/>
    <w:rsid w:val="00D449FB"/>
    <w:rsid w:val="00D453B3"/>
    <w:rsid w:val="00D45512"/>
    <w:rsid w:val="00D46238"/>
    <w:rsid w:val="00D4676F"/>
    <w:rsid w:val="00D46996"/>
    <w:rsid w:val="00D469AA"/>
    <w:rsid w:val="00D50AE9"/>
    <w:rsid w:val="00D52E32"/>
    <w:rsid w:val="00D53286"/>
    <w:rsid w:val="00D5458F"/>
    <w:rsid w:val="00D54B4E"/>
    <w:rsid w:val="00D54CF8"/>
    <w:rsid w:val="00D56886"/>
    <w:rsid w:val="00D56D9F"/>
    <w:rsid w:val="00D57039"/>
    <w:rsid w:val="00D57CAC"/>
    <w:rsid w:val="00D60878"/>
    <w:rsid w:val="00D60888"/>
    <w:rsid w:val="00D60C9F"/>
    <w:rsid w:val="00D62B6B"/>
    <w:rsid w:val="00D62CEA"/>
    <w:rsid w:val="00D62EB2"/>
    <w:rsid w:val="00D62FDB"/>
    <w:rsid w:val="00D6341F"/>
    <w:rsid w:val="00D636F5"/>
    <w:rsid w:val="00D652D4"/>
    <w:rsid w:val="00D65328"/>
    <w:rsid w:val="00D66BE4"/>
    <w:rsid w:val="00D7125C"/>
    <w:rsid w:val="00D712F8"/>
    <w:rsid w:val="00D71B17"/>
    <w:rsid w:val="00D74243"/>
    <w:rsid w:val="00D74A54"/>
    <w:rsid w:val="00D74E2B"/>
    <w:rsid w:val="00D7515B"/>
    <w:rsid w:val="00D75256"/>
    <w:rsid w:val="00D7551C"/>
    <w:rsid w:val="00D75692"/>
    <w:rsid w:val="00D774DB"/>
    <w:rsid w:val="00D84162"/>
    <w:rsid w:val="00D845E2"/>
    <w:rsid w:val="00D84FFA"/>
    <w:rsid w:val="00D9010E"/>
    <w:rsid w:val="00D92A3B"/>
    <w:rsid w:val="00D9302F"/>
    <w:rsid w:val="00D93210"/>
    <w:rsid w:val="00D94683"/>
    <w:rsid w:val="00D94D2B"/>
    <w:rsid w:val="00D95240"/>
    <w:rsid w:val="00D95EDF"/>
    <w:rsid w:val="00D969D5"/>
    <w:rsid w:val="00D96B42"/>
    <w:rsid w:val="00D96F1E"/>
    <w:rsid w:val="00D970BA"/>
    <w:rsid w:val="00D973AA"/>
    <w:rsid w:val="00D97F9B"/>
    <w:rsid w:val="00DA033E"/>
    <w:rsid w:val="00DA0360"/>
    <w:rsid w:val="00DA1524"/>
    <w:rsid w:val="00DA2C8C"/>
    <w:rsid w:val="00DA5914"/>
    <w:rsid w:val="00DA6C0B"/>
    <w:rsid w:val="00DA6F04"/>
    <w:rsid w:val="00DA754A"/>
    <w:rsid w:val="00DB043D"/>
    <w:rsid w:val="00DB1903"/>
    <w:rsid w:val="00DB2788"/>
    <w:rsid w:val="00DB492A"/>
    <w:rsid w:val="00DB7721"/>
    <w:rsid w:val="00DB7AF2"/>
    <w:rsid w:val="00DB7EDA"/>
    <w:rsid w:val="00DC0947"/>
    <w:rsid w:val="00DC1861"/>
    <w:rsid w:val="00DC26B9"/>
    <w:rsid w:val="00DC34EF"/>
    <w:rsid w:val="00DC3A36"/>
    <w:rsid w:val="00DC4B9A"/>
    <w:rsid w:val="00DC4F8D"/>
    <w:rsid w:val="00DC6AF6"/>
    <w:rsid w:val="00DC7E11"/>
    <w:rsid w:val="00DD0954"/>
    <w:rsid w:val="00DD09D3"/>
    <w:rsid w:val="00DD0BF9"/>
    <w:rsid w:val="00DD1E04"/>
    <w:rsid w:val="00DD1E21"/>
    <w:rsid w:val="00DD3C9F"/>
    <w:rsid w:val="00DD6190"/>
    <w:rsid w:val="00DD781C"/>
    <w:rsid w:val="00DE1D08"/>
    <w:rsid w:val="00DE2788"/>
    <w:rsid w:val="00DE4BEB"/>
    <w:rsid w:val="00DE603E"/>
    <w:rsid w:val="00DE687A"/>
    <w:rsid w:val="00DE6D86"/>
    <w:rsid w:val="00DF06E7"/>
    <w:rsid w:val="00DF0B03"/>
    <w:rsid w:val="00DF0C87"/>
    <w:rsid w:val="00DF150A"/>
    <w:rsid w:val="00DF1DAE"/>
    <w:rsid w:val="00DF3414"/>
    <w:rsid w:val="00DF3F8A"/>
    <w:rsid w:val="00DF42CE"/>
    <w:rsid w:val="00DF457F"/>
    <w:rsid w:val="00DF5067"/>
    <w:rsid w:val="00DF555B"/>
    <w:rsid w:val="00DF5A53"/>
    <w:rsid w:val="00DF6503"/>
    <w:rsid w:val="00DF6AC8"/>
    <w:rsid w:val="00DF74CA"/>
    <w:rsid w:val="00DF78ED"/>
    <w:rsid w:val="00DF7AB6"/>
    <w:rsid w:val="00E01CD4"/>
    <w:rsid w:val="00E02BD8"/>
    <w:rsid w:val="00E02D78"/>
    <w:rsid w:val="00E031DF"/>
    <w:rsid w:val="00E045D2"/>
    <w:rsid w:val="00E0536B"/>
    <w:rsid w:val="00E057A3"/>
    <w:rsid w:val="00E10035"/>
    <w:rsid w:val="00E140C1"/>
    <w:rsid w:val="00E14BD5"/>
    <w:rsid w:val="00E14BDB"/>
    <w:rsid w:val="00E154F1"/>
    <w:rsid w:val="00E1573C"/>
    <w:rsid w:val="00E167BA"/>
    <w:rsid w:val="00E1777A"/>
    <w:rsid w:val="00E22B2D"/>
    <w:rsid w:val="00E2343B"/>
    <w:rsid w:val="00E23A54"/>
    <w:rsid w:val="00E25984"/>
    <w:rsid w:val="00E25B30"/>
    <w:rsid w:val="00E2690E"/>
    <w:rsid w:val="00E26A8F"/>
    <w:rsid w:val="00E27B94"/>
    <w:rsid w:val="00E304D4"/>
    <w:rsid w:val="00E30ED5"/>
    <w:rsid w:val="00E31B45"/>
    <w:rsid w:val="00E31B8D"/>
    <w:rsid w:val="00E31D8F"/>
    <w:rsid w:val="00E321CC"/>
    <w:rsid w:val="00E33599"/>
    <w:rsid w:val="00E363AA"/>
    <w:rsid w:val="00E37D6E"/>
    <w:rsid w:val="00E40254"/>
    <w:rsid w:val="00E40290"/>
    <w:rsid w:val="00E41142"/>
    <w:rsid w:val="00E42053"/>
    <w:rsid w:val="00E420F9"/>
    <w:rsid w:val="00E423B7"/>
    <w:rsid w:val="00E43AB1"/>
    <w:rsid w:val="00E444AA"/>
    <w:rsid w:val="00E4487D"/>
    <w:rsid w:val="00E46AAF"/>
    <w:rsid w:val="00E474E4"/>
    <w:rsid w:val="00E479A9"/>
    <w:rsid w:val="00E510F7"/>
    <w:rsid w:val="00E5116D"/>
    <w:rsid w:val="00E51E67"/>
    <w:rsid w:val="00E52D8C"/>
    <w:rsid w:val="00E54792"/>
    <w:rsid w:val="00E565FB"/>
    <w:rsid w:val="00E608A8"/>
    <w:rsid w:val="00E60A59"/>
    <w:rsid w:val="00E60B2A"/>
    <w:rsid w:val="00E6670D"/>
    <w:rsid w:val="00E7047C"/>
    <w:rsid w:val="00E706A0"/>
    <w:rsid w:val="00E71595"/>
    <w:rsid w:val="00E71F66"/>
    <w:rsid w:val="00E72281"/>
    <w:rsid w:val="00E72366"/>
    <w:rsid w:val="00E72AC0"/>
    <w:rsid w:val="00E74A9C"/>
    <w:rsid w:val="00E7677F"/>
    <w:rsid w:val="00E771D9"/>
    <w:rsid w:val="00E77ABF"/>
    <w:rsid w:val="00E81038"/>
    <w:rsid w:val="00E8197E"/>
    <w:rsid w:val="00E829E8"/>
    <w:rsid w:val="00E82A19"/>
    <w:rsid w:val="00E82A8B"/>
    <w:rsid w:val="00E82D4E"/>
    <w:rsid w:val="00E85475"/>
    <w:rsid w:val="00E86A2D"/>
    <w:rsid w:val="00E878E6"/>
    <w:rsid w:val="00E87CE7"/>
    <w:rsid w:val="00E90251"/>
    <w:rsid w:val="00E951BE"/>
    <w:rsid w:val="00E9579F"/>
    <w:rsid w:val="00EA0AED"/>
    <w:rsid w:val="00EA172C"/>
    <w:rsid w:val="00EA17F3"/>
    <w:rsid w:val="00EA33B0"/>
    <w:rsid w:val="00EA38BB"/>
    <w:rsid w:val="00EA3B89"/>
    <w:rsid w:val="00EA4E97"/>
    <w:rsid w:val="00EA6843"/>
    <w:rsid w:val="00EA6B5C"/>
    <w:rsid w:val="00EB1386"/>
    <w:rsid w:val="00EB35AF"/>
    <w:rsid w:val="00EB4089"/>
    <w:rsid w:val="00EB6199"/>
    <w:rsid w:val="00EB7AFC"/>
    <w:rsid w:val="00EC27B8"/>
    <w:rsid w:val="00EC3034"/>
    <w:rsid w:val="00EC40D3"/>
    <w:rsid w:val="00EC4852"/>
    <w:rsid w:val="00EC4B41"/>
    <w:rsid w:val="00EC54AE"/>
    <w:rsid w:val="00EC5CF3"/>
    <w:rsid w:val="00EC63FF"/>
    <w:rsid w:val="00EC7412"/>
    <w:rsid w:val="00ED07E8"/>
    <w:rsid w:val="00ED1DC4"/>
    <w:rsid w:val="00ED1E9B"/>
    <w:rsid w:val="00ED298D"/>
    <w:rsid w:val="00ED46BA"/>
    <w:rsid w:val="00ED51BC"/>
    <w:rsid w:val="00ED5C16"/>
    <w:rsid w:val="00ED6F11"/>
    <w:rsid w:val="00ED723A"/>
    <w:rsid w:val="00ED78CC"/>
    <w:rsid w:val="00EE164F"/>
    <w:rsid w:val="00EE351E"/>
    <w:rsid w:val="00EE4A0E"/>
    <w:rsid w:val="00EE6693"/>
    <w:rsid w:val="00EE71AB"/>
    <w:rsid w:val="00EE7453"/>
    <w:rsid w:val="00EE747E"/>
    <w:rsid w:val="00EF01A4"/>
    <w:rsid w:val="00EF14D2"/>
    <w:rsid w:val="00EF2A22"/>
    <w:rsid w:val="00EF3F8A"/>
    <w:rsid w:val="00EF4C42"/>
    <w:rsid w:val="00EF581F"/>
    <w:rsid w:val="00EF5C2B"/>
    <w:rsid w:val="00EF6E3C"/>
    <w:rsid w:val="00F01426"/>
    <w:rsid w:val="00F0169A"/>
    <w:rsid w:val="00F0232B"/>
    <w:rsid w:val="00F0257E"/>
    <w:rsid w:val="00F025D9"/>
    <w:rsid w:val="00F027CF"/>
    <w:rsid w:val="00F02A57"/>
    <w:rsid w:val="00F02A9D"/>
    <w:rsid w:val="00F0441F"/>
    <w:rsid w:val="00F045B0"/>
    <w:rsid w:val="00F04615"/>
    <w:rsid w:val="00F04C01"/>
    <w:rsid w:val="00F07498"/>
    <w:rsid w:val="00F078D4"/>
    <w:rsid w:val="00F10770"/>
    <w:rsid w:val="00F135F4"/>
    <w:rsid w:val="00F13B7C"/>
    <w:rsid w:val="00F17C7C"/>
    <w:rsid w:val="00F20604"/>
    <w:rsid w:val="00F21F1C"/>
    <w:rsid w:val="00F22265"/>
    <w:rsid w:val="00F22511"/>
    <w:rsid w:val="00F22569"/>
    <w:rsid w:val="00F24539"/>
    <w:rsid w:val="00F25DF4"/>
    <w:rsid w:val="00F306FE"/>
    <w:rsid w:val="00F307DD"/>
    <w:rsid w:val="00F31F18"/>
    <w:rsid w:val="00F32619"/>
    <w:rsid w:val="00F32B1A"/>
    <w:rsid w:val="00F32D73"/>
    <w:rsid w:val="00F32E3B"/>
    <w:rsid w:val="00F34343"/>
    <w:rsid w:val="00F3548A"/>
    <w:rsid w:val="00F421A9"/>
    <w:rsid w:val="00F425E1"/>
    <w:rsid w:val="00F426B8"/>
    <w:rsid w:val="00F43F8F"/>
    <w:rsid w:val="00F44C78"/>
    <w:rsid w:val="00F4509A"/>
    <w:rsid w:val="00F45E16"/>
    <w:rsid w:val="00F46066"/>
    <w:rsid w:val="00F4754C"/>
    <w:rsid w:val="00F50327"/>
    <w:rsid w:val="00F511B4"/>
    <w:rsid w:val="00F51607"/>
    <w:rsid w:val="00F52A35"/>
    <w:rsid w:val="00F52EA3"/>
    <w:rsid w:val="00F54FB1"/>
    <w:rsid w:val="00F5587D"/>
    <w:rsid w:val="00F5725E"/>
    <w:rsid w:val="00F6074E"/>
    <w:rsid w:val="00F64426"/>
    <w:rsid w:val="00F64939"/>
    <w:rsid w:val="00F65034"/>
    <w:rsid w:val="00F65BB1"/>
    <w:rsid w:val="00F66B00"/>
    <w:rsid w:val="00F675F7"/>
    <w:rsid w:val="00F679FF"/>
    <w:rsid w:val="00F70154"/>
    <w:rsid w:val="00F7238D"/>
    <w:rsid w:val="00F72C5D"/>
    <w:rsid w:val="00F7342F"/>
    <w:rsid w:val="00F75CF8"/>
    <w:rsid w:val="00F75E77"/>
    <w:rsid w:val="00F766B3"/>
    <w:rsid w:val="00F806EF"/>
    <w:rsid w:val="00F80FC8"/>
    <w:rsid w:val="00F8166A"/>
    <w:rsid w:val="00F82829"/>
    <w:rsid w:val="00F82867"/>
    <w:rsid w:val="00F82B68"/>
    <w:rsid w:val="00F839E8"/>
    <w:rsid w:val="00F8453D"/>
    <w:rsid w:val="00F84820"/>
    <w:rsid w:val="00F84AB5"/>
    <w:rsid w:val="00F86135"/>
    <w:rsid w:val="00F87320"/>
    <w:rsid w:val="00F90B09"/>
    <w:rsid w:val="00F92009"/>
    <w:rsid w:val="00F92618"/>
    <w:rsid w:val="00F92B23"/>
    <w:rsid w:val="00F9377B"/>
    <w:rsid w:val="00F93E8D"/>
    <w:rsid w:val="00F9415B"/>
    <w:rsid w:val="00F94629"/>
    <w:rsid w:val="00F95742"/>
    <w:rsid w:val="00F968BE"/>
    <w:rsid w:val="00F971FC"/>
    <w:rsid w:val="00F97EBE"/>
    <w:rsid w:val="00F97EC1"/>
    <w:rsid w:val="00FA0B9D"/>
    <w:rsid w:val="00FA15FE"/>
    <w:rsid w:val="00FA19C3"/>
    <w:rsid w:val="00FA2061"/>
    <w:rsid w:val="00FA23D1"/>
    <w:rsid w:val="00FA3EDD"/>
    <w:rsid w:val="00FA4CF0"/>
    <w:rsid w:val="00FA5241"/>
    <w:rsid w:val="00FA6674"/>
    <w:rsid w:val="00FA6D0E"/>
    <w:rsid w:val="00FA73C3"/>
    <w:rsid w:val="00FB1BCA"/>
    <w:rsid w:val="00FB2512"/>
    <w:rsid w:val="00FB46C7"/>
    <w:rsid w:val="00FB4921"/>
    <w:rsid w:val="00FB56CD"/>
    <w:rsid w:val="00FB720F"/>
    <w:rsid w:val="00FC0524"/>
    <w:rsid w:val="00FC0591"/>
    <w:rsid w:val="00FC0D5F"/>
    <w:rsid w:val="00FC0FB5"/>
    <w:rsid w:val="00FC1902"/>
    <w:rsid w:val="00FC194C"/>
    <w:rsid w:val="00FC1EF0"/>
    <w:rsid w:val="00FC2A1F"/>
    <w:rsid w:val="00FC3141"/>
    <w:rsid w:val="00FC38FE"/>
    <w:rsid w:val="00FC43DB"/>
    <w:rsid w:val="00FC4F45"/>
    <w:rsid w:val="00FC526F"/>
    <w:rsid w:val="00FC7313"/>
    <w:rsid w:val="00FC77E4"/>
    <w:rsid w:val="00FC79A4"/>
    <w:rsid w:val="00FC7F7A"/>
    <w:rsid w:val="00FD0B19"/>
    <w:rsid w:val="00FD0B88"/>
    <w:rsid w:val="00FD1A1F"/>
    <w:rsid w:val="00FD2F04"/>
    <w:rsid w:val="00FD3F53"/>
    <w:rsid w:val="00FD49CD"/>
    <w:rsid w:val="00FD5023"/>
    <w:rsid w:val="00FD530C"/>
    <w:rsid w:val="00FD6BD8"/>
    <w:rsid w:val="00FD74D9"/>
    <w:rsid w:val="00FD7CEC"/>
    <w:rsid w:val="00FE08C8"/>
    <w:rsid w:val="00FE3C85"/>
    <w:rsid w:val="00FE446D"/>
    <w:rsid w:val="00FE5143"/>
    <w:rsid w:val="00FE5466"/>
    <w:rsid w:val="00FF18FB"/>
    <w:rsid w:val="00FF19F8"/>
    <w:rsid w:val="00FF27CC"/>
    <w:rsid w:val="00FF27FB"/>
    <w:rsid w:val="00FF2DDE"/>
    <w:rsid w:val="00FF308B"/>
    <w:rsid w:val="00FF510F"/>
    <w:rsid w:val="00FF5CB0"/>
    <w:rsid w:val="00FF6647"/>
    <w:rsid w:val="00FF7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D57"/>
    <w:pPr>
      <w:spacing w:after="200" w:line="276" w:lineRule="auto"/>
    </w:pPr>
    <w:rPr>
      <w:rFonts w:asciiTheme="minorHAnsi" w:eastAsiaTheme="minorHAnsi" w:hAnsiTheme="minorHAnsi" w:cstheme="minorBidi"/>
      <w:sz w:val="22"/>
      <w:szCs w:val="22"/>
    </w:rPr>
  </w:style>
  <w:style w:type="paragraph" w:styleId="Heading1">
    <w:name w:val="heading 1"/>
    <w:basedOn w:val="Normal"/>
    <w:next w:val="ParaNum"/>
    <w:link w:val="Heading1Char"/>
    <w:qFormat/>
    <w:rsid w:val="00054EE4"/>
    <w:pPr>
      <w:keepNext/>
      <w:numPr>
        <w:numId w:val="2"/>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054EE4"/>
    <w:pPr>
      <w:keepNext/>
      <w:numPr>
        <w:ilvl w:val="1"/>
        <w:numId w:val="2"/>
      </w:numPr>
      <w:spacing w:after="120"/>
      <w:outlineLvl w:val="1"/>
    </w:pPr>
    <w:rPr>
      <w:b/>
    </w:rPr>
  </w:style>
  <w:style w:type="paragraph" w:styleId="Heading3">
    <w:name w:val="heading 3"/>
    <w:basedOn w:val="Normal"/>
    <w:next w:val="ParaNum"/>
    <w:link w:val="Heading3Char"/>
    <w:qFormat/>
    <w:rsid w:val="00054EE4"/>
    <w:pPr>
      <w:keepNext/>
      <w:numPr>
        <w:ilvl w:val="2"/>
        <w:numId w:val="2"/>
      </w:numPr>
      <w:tabs>
        <w:tab w:val="left" w:pos="2160"/>
      </w:tabs>
      <w:spacing w:after="120"/>
      <w:outlineLvl w:val="2"/>
    </w:pPr>
    <w:rPr>
      <w:b/>
    </w:rPr>
  </w:style>
  <w:style w:type="paragraph" w:styleId="Heading4">
    <w:name w:val="heading 4"/>
    <w:basedOn w:val="Normal"/>
    <w:next w:val="ParaNum"/>
    <w:link w:val="Heading4Char"/>
    <w:qFormat/>
    <w:rsid w:val="00054EE4"/>
    <w:pPr>
      <w:keepNext/>
      <w:numPr>
        <w:ilvl w:val="3"/>
        <w:numId w:val="2"/>
      </w:numPr>
      <w:tabs>
        <w:tab w:val="left" w:pos="2880"/>
      </w:tabs>
      <w:spacing w:after="120"/>
      <w:outlineLvl w:val="3"/>
    </w:pPr>
    <w:rPr>
      <w:b/>
    </w:rPr>
  </w:style>
  <w:style w:type="paragraph" w:styleId="Heading5">
    <w:name w:val="heading 5"/>
    <w:basedOn w:val="Normal"/>
    <w:next w:val="ParaNum"/>
    <w:link w:val="Heading5Char"/>
    <w:qFormat/>
    <w:rsid w:val="00054EE4"/>
    <w:pPr>
      <w:keepNext/>
      <w:numPr>
        <w:ilvl w:val="4"/>
        <w:numId w:val="2"/>
      </w:numPr>
      <w:tabs>
        <w:tab w:val="left" w:pos="3600"/>
      </w:tabs>
      <w:suppressAutoHyphens/>
      <w:spacing w:after="120"/>
      <w:outlineLvl w:val="4"/>
    </w:pPr>
    <w:rPr>
      <w:b/>
    </w:rPr>
  </w:style>
  <w:style w:type="paragraph" w:styleId="Heading6">
    <w:name w:val="heading 6"/>
    <w:basedOn w:val="Normal"/>
    <w:next w:val="ParaNum"/>
    <w:link w:val="Heading6Char"/>
    <w:qFormat/>
    <w:rsid w:val="00054EE4"/>
    <w:pPr>
      <w:numPr>
        <w:ilvl w:val="5"/>
        <w:numId w:val="2"/>
      </w:numPr>
      <w:tabs>
        <w:tab w:val="left" w:pos="4320"/>
      </w:tabs>
      <w:spacing w:after="120"/>
      <w:outlineLvl w:val="5"/>
    </w:pPr>
    <w:rPr>
      <w:b/>
    </w:rPr>
  </w:style>
  <w:style w:type="paragraph" w:styleId="Heading7">
    <w:name w:val="heading 7"/>
    <w:basedOn w:val="Normal"/>
    <w:next w:val="ParaNum"/>
    <w:link w:val="Heading7Char"/>
    <w:qFormat/>
    <w:rsid w:val="00054EE4"/>
    <w:pPr>
      <w:numPr>
        <w:ilvl w:val="6"/>
        <w:numId w:val="2"/>
      </w:numPr>
      <w:tabs>
        <w:tab w:val="left" w:pos="5040"/>
      </w:tabs>
      <w:spacing w:after="120"/>
      <w:ind w:left="5040" w:hanging="720"/>
      <w:outlineLvl w:val="6"/>
    </w:pPr>
    <w:rPr>
      <w:b/>
    </w:rPr>
  </w:style>
  <w:style w:type="paragraph" w:styleId="Heading8">
    <w:name w:val="heading 8"/>
    <w:basedOn w:val="Normal"/>
    <w:next w:val="ParaNum"/>
    <w:link w:val="Heading8Char"/>
    <w:qFormat/>
    <w:rsid w:val="00054EE4"/>
    <w:pPr>
      <w:numPr>
        <w:ilvl w:val="7"/>
        <w:numId w:val="2"/>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054EE4"/>
    <w:pPr>
      <w:numPr>
        <w:ilvl w:val="8"/>
        <w:numId w:val="2"/>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BD5D5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5D57"/>
  </w:style>
  <w:style w:type="paragraph" w:styleId="FootnoteText">
    <w:name w:val="footnote text"/>
    <w:link w:val="FootnoteTextChar"/>
    <w:rsid w:val="00054EE4"/>
    <w:pPr>
      <w:spacing w:after="120"/>
    </w:pPr>
  </w:style>
  <w:style w:type="character" w:styleId="FootnoteReference">
    <w:name w:val="footnote reference"/>
    <w:rsid w:val="00054EE4"/>
    <w:rPr>
      <w:rFonts w:ascii="Times New Roman" w:hAnsi="Times New Roman"/>
      <w:dstrike w:val="0"/>
      <w:color w:val="auto"/>
      <w:sz w:val="20"/>
      <w:vertAlign w:val="superscript"/>
    </w:rPr>
  </w:style>
  <w:style w:type="paragraph" w:styleId="Footer">
    <w:name w:val="footer"/>
    <w:basedOn w:val="Normal"/>
    <w:rsid w:val="00054EE4"/>
    <w:pPr>
      <w:tabs>
        <w:tab w:val="center" w:pos="4320"/>
        <w:tab w:val="right" w:pos="8640"/>
      </w:tabs>
    </w:pPr>
  </w:style>
  <w:style w:type="character" w:styleId="PageNumber">
    <w:name w:val="page number"/>
    <w:basedOn w:val="DefaultParagraphFont"/>
    <w:rsid w:val="00054EE4"/>
  </w:style>
  <w:style w:type="paragraph" w:styleId="Header">
    <w:name w:val="header"/>
    <w:basedOn w:val="Normal"/>
    <w:autoRedefine/>
    <w:rsid w:val="00054EE4"/>
    <w:pPr>
      <w:tabs>
        <w:tab w:val="center" w:pos="4680"/>
        <w:tab w:val="right" w:pos="9360"/>
      </w:tabs>
    </w:pPr>
    <w:rPr>
      <w:b/>
    </w:rPr>
  </w:style>
  <w:style w:type="paragraph" w:styleId="ListParagraph">
    <w:name w:val="List Paragraph"/>
    <w:basedOn w:val="Normal"/>
    <w:uiPriority w:val="34"/>
    <w:qFormat/>
    <w:rsid w:val="00785410"/>
    <w:pPr>
      <w:ind w:left="720"/>
    </w:pPr>
  </w:style>
  <w:style w:type="character" w:styleId="CommentReference">
    <w:name w:val="annotation reference"/>
    <w:rsid w:val="003F426D"/>
    <w:rPr>
      <w:sz w:val="16"/>
      <w:szCs w:val="16"/>
    </w:rPr>
  </w:style>
  <w:style w:type="paragraph" w:styleId="CommentText">
    <w:name w:val="annotation text"/>
    <w:basedOn w:val="Normal"/>
    <w:link w:val="CommentTextChar"/>
    <w:rsid w:val="003F426D"/>
    <w:rPr>
      <w:sz w:val="20"/>
    </w:rPr>
  </w:style>
  <w:style w:type="character" w:customStyle="1" w:styleId="CommentTextChar">
    <w:name w:val="Comment Text Char"/>
    <w:basedOn w:val="DefaultParagraphFont"/>
    <w:link w:val="CommentText"/>
    <w:rsid w:val="003F426D"/>
  </w:style>
  <w:style w:type="paragraph" w:styleId="CommentSubject">
    <w:name w:val="annotation subject"/>
    <w:basedOn w:val="CommentText"/>
    <w:next w:val="CommentText"/>
    <w:link w:val="CommentSubjectChar"/>
    <w:rsid w:val="003F426D"/>
    <w:rPr>
      <w:b/>
      <w:bCs/>
    </w:rPr>
  </w:style>
  <w:style w:type="character" w:customStyle="1" w:styleId="CommentSubjectChar">
    <w:name w:val="Comment Subject Char"/>
    <w:link w:val="CommentSubject"/>
    <w:rsid w:val="003F426D"/>
    <w:rPr>
      <w:b/>
      <w:bCs/>
    </w:rPr>
  </w:style>
  <w:style w:type="paragraph" w:styleId="BalloonText">
    <w:name w:val="Balloon Text"/>
    <w:basedOn w:val="Normal"/>
    <w:link w:val="BalloonTextChar"/>
    <w:rsid w:val="003F426D"/>
    <w:rPr>
      <w:rFonts w:ascii="Tahoma" w:hAnsi="Tahoma" w:cs="Tahoma"/>
      <w:sz w:val="16"/>
      <w:szCs w:val="16"/>
    </w:rPr>
  </w:style>
  <w:style w:type="character" w:customStyle="1" w:styleId="BalloonTextChar">
    <w:name w:val="Balloon Text Char"/>
    <w:link w:val="BalloonText"/>
    <w:rsid w:val="003F426D"/>
    <w:rPr>
      <w:rFonts w:ascii="Tahoma" w:hAnsi="Tahoma" w:cs="Tahoma"/>
      <w:sz w:val="16"/>
      <w:szCs w:val="16"/>
    </w:rPr>
  </w:style>
  <w:style w:type="paragraph" w:customStyle="1" w:styleId="ParaNum">
    <w:name w:val="ParaNum"/>
    <w:basedOn w:val="Normal"/>
    <w:rsid w:val="00054EE4"/>
    <w:pPr>
      <w:numPr>
        <w:numId w:val="1"/>
      </w:numPr>
      <w:tabs>
        <w:tab w:val="clear" w:pos="1080"/>
        <w:tab w:val="num" w:pos="1440"/>
      </w:tabs>
      <w:spacing w:after="120"/>
    </w:pPr>
  </w:style>
  <w:style w:type="character" w:styleId="Hyperlink">
    <w:name w:val="Hyperlink"/>
    <w:rsid w:val="00054EE4"/>
    <w:rPr>
      <w:color w:val="0000FF"/>
      <w:u w:val="single"/>
    </w:rPr>
  </w:style>
  <w:style w:type="paragraph" w:customStyle="1" w:styleId="xmsonormal">
    <w:name w:val="x_msonormal"/>
    <w:basedOn w:val="Normal"/>
    <w:rsid w:val="00C56A99"/>
    <w:pPr>
      <w:spacing w:before="100" w:beforeAutospacing="1" w:after="100" w:afterAutospacing="1"/>
    </w:pPr>
  </w:style>
  <w:style w:type="paragraph" w:styleId="PlainText">
    <w:name w:val="Plain Text"/>
    <w:basedOn w:val="Normal"/>
    <w:link w:val="PlainTextChar"/>
    <w:uiPriority w:val="99"/>
    <w:unhideWhenUsed/>
    <w:rsid w:val="001D36CD"/>
    <w:rPr>
      <w:rFonts w:ascii="Calibri" w:hAnsi="Calibri" w:cs="Consolas"/>
      <w:szCs w:val="21"/>
    </w:rPr>
  </w:style>
  <w:style w:type="character" w:customStyle="1" w:styleId="PlainTextChar">
    <w:name w:val="Plain Text Char"/>
    <w:basedOn w:val="DefaultParagraphFont"/>
    <w:link w:val="PlainText"/>
    <w:uiPriority w:val="99"/>
    <w:rsid w:val="001D36CD"/>
    <w:rPr>
      <w:rFonts w:ascii="Calibri" w:eastAsiaTheme="minorHAnsi" w:hAnsi="Calibri" w:cs="Consolas"/>
      <w:sz w:val="22"/>
      <w:szCs w:val="21"/>
    </w:rPr>
  </w:style>
  <w:style w:type="character" w:customStyle="1" w:styleId="FootnoteTextChar">
    <w:name w:val="Footnote Text Char"/>
    <w:basedOn w:val="DefaultParagraphFont"/>
    <w:link w:val="FootnoteText"/>
    <w:rsid w:val="00031E35"/>
  </w:style>
  <w:style w:type="character" w:customStyle="1" w:styleId="Heading1Char">
    <w:name w:val="Heading 1 Char"/>
    <w:basedOn w:val="DefaultParagraphFont"/>
    <w:link w:val="Heading1"/>
    <w:rsid w:val="00B53D22"/>
    <w:rPr>
      <w:rFonts w:ascii="Times New Roman Bold" w:hAnsi="Times New Roman Bold"/>
      <w:b/>
      <w:caps/>
      <w:snapToGrid w:val="0"/>
      <w:kern w:val="28"/>
      <w:sz w:val="22"/>
    </w:rPr>
  </w:style>
  <w:style w:type="character" w:customStyle="1" w:styleId="Heading2Char">
    <w:name w:val="Heading 2 Char"/>
    <w:basedOn w:val="DefaultParagraphFont"/>
    <w:link w:val="Heading2"/>
    <w:rsid w:val="005D0BCD"/>
    <w:rPr>
      <w:b/>
      <w:snapToGrid w:val="0"/>
      <w:kern w:val="28"/>
      <w:sz w:val="22"/>
    </w:rPr>
  </w:style>
  <w:style w:type="character" w:customStyle="1" w:styleId="Heading3Char">
    <w:name w:val="Heading 3 Char"/>
    <w:basedOn w:val="DefaultParagraphFont"/>
    <w:link w:val="Heading3"/>
    <w:rsid w:val="005D0BCD"/>
    <w:rPr>
      <w:b/>
      <w:snapToGrid w:val="0"/>
      <w:kern w:val="28"/>
      <w:sz w:val="22"/>
    </w:rPr>
  </w:style>
  <w:style w:type="character" w:customStyle="1" w:styleId="Heading4Char">
    <w:name w:val="Heading 4 Char"/>
    <w:basedOn w:val="DefaultParagraphFont"/>
    <w:link w:val="Heading4"/>
    <w:rsid w:val="005D0BCD"/>
    <w:rPr>
      <w:b/>
      <w:snapToGrid w:val="0"/>
      <w:kern w:val="28"/>
      <w:sz w:val="22"/>
    </w:rPr>
  </w:style>
  <w:style w:type="character" w:customStyle="1" w:styleId="Heading5Char">
    <w:name w:val="Heading 5 Char"/>
    <w:basedOn w:val="DefaultParagraphFont"/>
    <w:link w:val="Heading5"/>
    <w:rsid w:val="005D0BCD"/>
    <w:rPr>
      <w:b/>
      <w:snapToGrid w:val="0"/>
      <w:kern w:val="28"/>
      <w:sz w:val="22"/>
    </w:rPr>
  </w:style>
  <w:style w:type="character" w:customStyle="1" w:styleId="Heading6Char">
    <w:name w:val="Heading 6 Char"/>
    <w:basedOn w:val="DefaultParagraphFont"/>
    <w:link w:val="Heading6"/>
    <w:rsid w:val="005D0BCD"/>
    <w:rPr>
      <w:b/>
      <w:snapToGrid w:val="0"/>
      <w:kern w:val="28"/>
      <w:sz w:val="22"/>
    </w:rPr>
  </w:style>
  <w:style w:type="character" w:customStyle="1" w:styleId="Heading7Char">
    <w:name w:val="Heading 7 Char"/>
    <w:basedOn w:val="DefaultParagraphFont"/>
    <w:link w:val="Heading7"/>
    <w:rsid w:val="005D0BCD"/>
    <w:rPr>
      <w:b/>
      <w:snapToGrid w:val="0"/>
      <w:kern w:val="28"/>
      <w:sz w:val="22"/>
    </w:rPr>
  </w:style>
  <w:style w:type="character" w:customStyle="1" w:styleId="Heading8Char">
    <w:name w:val="Heading 8 Char"/>
    <w:basedOn w:val="DefaultParagraphFont"/>
    <w:link w:val="Heading8"/>
    <w:rsid w:val="005D0BCD"/>
    <w:rPr>
      <w:b/>
      <w:snapToGrid w:val="0"/>
      <w:kern w:val="28"/>
      <w:sz w:val="22"/>
    </w:rPr>
  </w:style>
  <w:style w:type="character" w:customStyle="1" w:styleId="Heading9Char">
    <w:name w:val="Heading 9 Char"/>
    <w:basedOn w:val="DefaultParagraphFont"/>
    <w:link w:val="Heading9"/>
    <w:rsid w:val="005D0BCD"/>
    <w:rPr>
      <w:b/>
      <w:snapToGrid w:val="0"/>
      <w:kern w:val="28"/>
      <w:sz w:val="22"/>
    </w:rPr>
  </w:style>
  <w:style w:type="paragraph" w:styleId="EndnoteText">
    <w:name w:val="endnote text"/>
    <w:basedOn w:val="Normal"/>
    <w:link w:val="EndnoteTextChar"/>
    <w:rsid w:val="00054EE4"/>
    <w:rPr>
      <w:sz w:val="20"/>
    </w:rPr>
  </w:style>
  <w:style w:type="character" w:customStyle="1" w:styleId="EndnoteTextChar">
    <w:name w:val="Endnote Text Char"/>
    <w:basedOn w:val="DefaultParagraphFont"/>
    <w:link w:val="EndnoteText"/>
    <w:rsid w:val="005D0BCD"/>
    <w:rPr>
      <w:snapToGrid w:val="0"/>
      <w:kern w:val="28"/>
    </w:rPr>
  </w:style>
  <w:style w:type="character" w:styleId="EndnoteReference">
    <w:name w:val="endnote reference"/>
    <w:rsid w:val="00054EE4"/>
    <w:rPr>
      <w:vertAlign w:val="superscript"/>
    </w:rPr>
  </w:style>
  <w:style w:type="paragraph" w:styleId="TOC1">
    <w:name w:val="toc 1"/>
    <w:basedOn w:val="Normal"/>
    <w:next w:val="Normal"/>
    <w:rsid w:val="00054EE4"/>
    <w:pPr>
      <w:tabs>
        <w:tab w:val="left" w:pos="360"/>
        <w:tab w:val="right" w:leader="dot" w:pos="9360"/>
      </w:tabs>
      <w:suppressAutoHyphens/>
      <w:ind w:left="360" w:right="720" w:hanging="360"/>
    </w:pPr>
    <w:rPr>
      <w:caps/>
      <w:noProof/>
    </w:rPr>
  </w:style>
  <w:style w:type="paragraph" w:styleId="TOC2">
    <w:name w:val="toc 2"/>
    <w:basedOn w:val="Normal"/>
    <w:next w:val="Normal"/>
    <w:rsid w:val="00054EE4"/>
    <w:pPr>
      <w:tabs>
        <w:tab w:val="left" w:pos="720"/>
        <w:tab w:val="right" w:leader="dot" w:pos="9360"/>
      </w:tabs>
      <w:suppressAutoHyphens/>
      <w:ind w:left="720" w:right="720" w:hanging="360"/>
    </w:pPr>
    <w:rPr>
      <w:noProof/>
    </w:rPr>
  </w:style>
  <w:style w:type="paragraph" w:styleId="TOC3">
    <w:name w:val="toc 3"/>
    <w:basedOn w:val="Normal"/>
    <w:next w:val="Normal"/>
    <w:rsid w:val="00054EE4"/>
    <w:pPr>
      <w:tabs>
        <w:tab w:val="left" w:pos="1080"/>
        <w:tab w:val="right" w:leader="dot" w:pos="9360"/>
      </w:tabs>
      <w:suppressAutoHyphens/>
      <w:ind w:left="1080" w:right="720" w:hanging="360"/>
    </w:pPr>
    <w:rPr>
      <w:noProof/>
    </w:rPr>
  </w:style>
  <w:style w:type="paragraph" w:styleId="TOC4">
    <w:name w:val="toc 4"/>
    <w:basedOn w:val="Normal"/>
    <w:next w:val="Normal"/>
    <w:autoRedefine/>
    <w:rsid w:val="00054EE4"/>
    <w:pPr>
      <w:tabs>
        <w:tab w:val="left" w:pos="1440"/>
        <w:tab w:val="right" w:leader="dot" w:pos="9360"/>
      </w:tabs>
      <w:suppressAutoHyphens/>
      <w:ind w:left="1440" w:right="720" w:hanging="360"/>
    </w:pPr>
    <w:rPr>
      <w:noProof/>
    </w:rPr>
  </w:style>
  <w:style w:type="paragraph" w:styleId="TOC5">
    <w:name w:val="toc 5"/>
    <w:basedOn w:val="Normal"/>
    <w:next w:val="Normal"/>
    <w:autoRedefine/>
    <w:rsid w:val="00054EE4"/>
    <w:pPr>
      <w:tabs>
        <w:tab w:val="left" w:pos="1800"/>
        <w:tab w:val="right" w:leader="dot" w:pos="9360"/>
      </w:tabs>
      <w:suppressAutoHyphens/>
      <w:ind w:left="1800" w:right="720" w:hanging="360"/>
    </w:pPr>
    <w:rPr>
      <w:noProof/>
    </w:rPr>
  </w:style>
  <w:style w:type="paragraph" w:styleId="TOC6">
    <w:name w:val="toc 6"/>
    <w:basedOn w:val="Normal"/>
    <w:next w:val="Normal"/>
    <w:autoRedefine/>
    <w:rsid w:val="00054EE4"/>
    <w:pPr>
      <w:tabs>
        <w:tab w:val="left" w:pos="2160"/>
        <w:tab w:val="right" w:leader="dot" w:pos="9360"/>
      </w:tabs>
      <w:suppressAutoHyphens/>
      <w:ind w:left="2160" w:hanging="360"/>
    </w:pPr>
    <w:rPr>
      <w:noProof/>
    </w:rPr>
  </w:style>
  <w:style w:type="paragraph" w:styleId="TOC7">
    <w:name w:val="toc 7"/>
    <w:basedOn w:val="Normal"/>
    <w:next w:val="Normal"/>
    <w:autoRedefine/>
    <w:rsid w:val="00054EE4"/>
    <w:pPr>
      <w:tabs>
        <w:tab w:val="left" w:pos="2520"/>
        <w:tab w:val="right" w:leader="dot" w:pos="9360"/>
      </w:tabs>
      <w:suppressAutoHyphens/>
      <w:ind w:left="2520" w:hanging="360"/>
    </w:pPr>
    <w:rPr>
      <w:noProof/>
    </w:rPr>
  </w:style>
  <w:style w:type="paragraph" w:styleId="TOC8">
    <w:name w:val="toc 8"/>
    <w:basedOn w:val="Normal"/>
    <w:next w:val="Normal"/>
    <w:autoRedefine/>
    <w:rsid w:val="00054EE4"/>
    <w:pPr>
      <w:tabs>
        <w:tab w:val="left" w:pos="2880"/>
        <w:tab w:val="right" w:leader="dot" w:pos="9360"/>
      </w:tabs>
      <w:suppressAutoHyphens/>
      <w:ind w:left="2880" w:hanging="360"/>
    </w:pPr>
    <w:rPr>
      <w:noProof/>
    </w:rPr>
  </w:style>
  <w:style w:type="paragraph" w:styleId="TOC9">
    <w:name w:val="toc 9"/>
    <w:basedOn w:val="Normal"/>
    <w:next w:val="Normal"/>
    <w:autoRedefine/>
    <w:rsid w:val="00054EE4"/>
    <w:pPr>
      <w:tabs>
        <w:tab w:val="left" w:pos="3240"/>
        <w:tab w:val="right" w:leader="dot" w:pos="9360"/>
      </w:tabs>
      <w:suppressAutoHyphens/>
      <w:ind w:left="3240" w:hanging="360"/>
    </w:pPr>
    <w:rPr>
      <w:noProof/>
    </w:rPr>
  </w:style>
  <w:style w:type="paragraph" w:styleId="TOAHeading">
    <w:name w:val="toa heading"/>
    <w:basedOn w:val="Normal"/>
    <w:next w:val="Normal"/>
    <w:rsid w:val="00054EE4"/>
    <w:pPr>
      <w:tabs>
        <w:tab w:val="right" w:pos="9360"/>
      </w:tabs>
      <w:suppressAutoHyphens/>
    </w:pPr>
  </w:style>
  <w:style w:type="character" w:customStyle="1" w:styleId="EquationCaption">
    <w:name w:val="_Equation Caption"/>
    <w:rsid w:val="00054EE4"/>
  </w:style>
  <w:style w:type="paragraph" w:styleId="BlockText">
    <w:name w:val="Block Text"/>
    <w:basedOn w:val="Normal"/>
    <w:rsid w:val="00054EE4"/>
    <w:pPr>
      <w:spacing w:after="240"/>
      <w:ind w:left="1440" w:right="1440"/>
    </w:pPr>
  </w:style>
  <w:style w:type="paragraph" w:customStyle="1" w:styleId="Paratitle">
    <w:name w:val="Para title"/>
    <w:basedOn w:val="Normal"/>
    <w:rsid w:val="00054EE4"/>
    <w:pPr>
      <w:tabs>
        <w:tab w:val="center" w:pos="9270"/>
      </w:tabs>
      <w:spacing w:after="240"/>
    </w:pPr>
    <w:rPr>
      <w:spacing w:val="-2"/>
    </w:rPr>
  </w:style>
  <w:style w:type="paragraph" w:customStyle="1" w:styleId="Bullet">
    <w:name w:val="Bullet"/>
    <w:basedOn w:val="Normal"/>
    <w:rsid w:val="00054EE4"/>
    <w:pPr>
      <w:tabs>
        <w:tab w:val="left" w:pos="2160"/>
      </w:tabs>
      <w:spacing w:after="220"/>
      <w:ind w:left="2160" w:hanging="720"/>
    </w:pPr>
  </w:style>
  <w:style w:type="paragraph" w:customStyle="1" w:styleId="TableFormat">
    <w:name w:val="TableFormat"/>
    <w:basedOn w:val="Bullet"/>
    <w:rsid w:val="00054EE4"/>
    <w:pPr>
      <w:tabs>
        <w:tab w:val="clear" w:pos="2160"/>
        <w:tab w:val="left" w:pos="5040"/>
      </w:tabs>
      <w:ind w:left="5040" w:hanging="3600"/>
    </w:pPr>
  </w:style>
  <w:style w:type="paragraph" w:customStyle="1" w:styleId="TOCTitle">
    <w:name w:val="TOC Title"/>
    <w:basedOn w:val="Normal"/>
    <w:rsid w:val="00054EE4"/>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54EE4"/>
    <w:pPr>
      <w:jc w:val="center"/>
    </w:pPr>
    <w:rPr>
      <w:rFonts w:ascii="Times New Roman Bold" w:hAnsi="Times New Roman Bold"/>
      <w:b/>
      <w:bCs/>
      <w:caps/>
    </w:rPr>
  </w:style>
  <w:style w:type="paragraph" w:styleId="Revision">
    <w:name w:val="Revision"/>
    <w:hidden/>
    <w:uiPriority w:val="99"/>
    <w:semiHidden/>
    <w:rsid w:val="005D0398"/>
    <w:rPr>
      <w:snapToGrid w:val="0"/>
      <w:kern w:val="28"/>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D57"/>
    <w:pPr>
      <w:spacing w:after="200" w:line="276" w:lineRule="auto"/>
    </w:pPr>
    <w:rPr>
      <w:rFonts w:asciiTheme="minorHAnsi" w:eastAsiaTheme="minorHAnsi" w:hAnsiTheme="minorHAnsi" w:cstheme="minorBidi"/>
      <w:sz w:val="22"/>
      <w:szCs w:val="22"/>
    </w:rPr>
  </w:style>
  <w:style w:type="paragraph" w:styleId="Heading1">
    <w:name w:val="heading 1"/>
    <w:basedOn w:val="Normal"/>
    <w:next w:val="ParaNum"/>
    <w:link w:val="Heading1Char"/>
    <w:qFormat/>
    <w:rsid w:val="00054EE4"/>
    <w:pPr>
      <w:keepNext/>
      <w:numPr>
        <w:numId w:val="2"/>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054EE4"/>
    <w:pPr>
      <w:keepNext/>
      <w:numPr>
        <w:ilvl w:val="1"/>
        <w:numId w:val="2"/>
      </w:numPr>
      <w:spacing w:after="120"/>
      <w:outlineLvl w:val="1"/>
    </w:pPr>
    <w:rPr>
      <w:b/>
    </w:rPr>
  </w:style>
  <w:style w:type="paragraph" w:styleId="Heading3">
    <w:name w:val="heading 3"/>
    <w:basedOn w:val="Normal"/>
    <w:next w:val="ParaNum"/>
    <w:link w:val="Heading3Char"/>
    <w:qFormat/>
    <w:rsid w:val="00054EE4"/>
    <w:pPr>
      <w:keepNext/>
      <w:numPr>
        <w:ilvl w:val="2"/>
        <w:numId w:val="2"/>
      </w:numPr>
      <w:tabs>
        <w:tab w:val="left" w:pos="2160"/>
      </w:tabs>
      <w:spacing w:after="120"/>
      <w:outlineLvl w:val="2"/>
    </w:pPr>
    <w:rPr>
      <w:b/>
    </w:rPr>
  </w:style>
  <w:style w:type="paragraph" w:styleId="Heading4">
    <w:name w:val="heading 4"/>
    <w:basedOn w:val="Normal"/>
    <w:next w:val="ParaNum"/>
    <w:link w:val="Heading4Char"/>
    <w:qFormat/>
    <w:rsid w:val="00054EE4"/>
    <w:pPr>
      <w:keepNext/>
      <w:numPr>
        <w:ilvl w:val="3"/>
        <w:numId w:val="2"/>
      </w:numPr>
      <w:tabs>
        <w:tab w:val="left" w:pos="2880"/>
      </w:tabs>
      <w:spacing w:after="120"/>
      <w:outlineLvl w:val="3"/>
    </w:pPr>
    <w:rPr>
      <w:b/>
    </w:rPr>
  </w:style>
  <w:style w:type="paragraph" w:styleId="Heading5">
    <w:name w:val="heading 5"/>
    <w:basedOn w:val="Normal"/>
    <w:next w:val="ParaNum"/>
    <w:link w:val="Heading5Char"/>
    <w:qFormat/>
    <w:rsid w:val="00054EE4"/>
    <w:pPr>
      <w:keepNext/>
      <w:numPr>
        <w:ilvl w:val="4"/>
        <w:numId w:val="2"/>
      </w:numPr>
      <w:tabs>
        <w:tab w:val="left" w:pos="3600"/>
      </w:tabs>
      <w:suppressAutoHyphens/>
      <w:spacing w:after="120"/>
      <w:outlineLvl w:val="4"/>
    </w:pPr>
    <w:rPr>
      <w:b/>
    </w:rPr>
  </w:style>
  <w:style w:type="paragraph" w:styleId="Heading6">
    <w:name w:val="heading 6"/>
    <w:basedOn w:val="Normal"/>
    <w:next w:val="ParaNum"/>
    <w:link w:val="Heading6Char"/>
    <w:qFormat/>
    <w:rsid w:val="00054EE4"/>
    <w:pPr>
      <w:numPr>
        <w:ilvl w:val="5"/>
        <w:numId w:val="2"/>
      </w:numPr>
      <w:tabs>
        <w:tab w:val="left" w:pos="4320"/>
      </w:tabs>
      <w:spacing w:after="120"/>
      <w:outlineLvl w:val="5"/>
    </w:pPr>
    <w:rPr>
      <w:b/>
    </w:rPr>
  </w:style>
  <w:style w:type="paragraph" w:styleId="Heading7">
    <w:name w:val="heading 7"/>
    <w:basedOn w:val="Normal"/>
    <w:next w:val="ParaNum"/>
    <w:link w:val="Heading7Char"/>
    <w:qFormat/>
    <w:rsid w:val="00054EE4"/>
    <w:pPr>
      <w:numPr>
        <w:ilvl w:val="6"/>
        <w:numId w:val="2"/>
      </w:numPr>
      <w:tabs>
        <w:tab w:val="left" w:pos="5040"/>
      </w:tabs>
      <w:spacing w:after="120"/>
      <w:ind w:left="5040" w:hanging="720"/>
      <w:outlineLvl w:val="6"/>
    </w:pPr>
    <w:rPr>
      <w:b/>
    </w:rPr>
  </w:style>
  <w:style w:type="paragraph" w:styleId="Heading8">
    <w:name w:val="heading 8"/>
    <w:basedOn w:val="Normal"/>
    <w:next w:val="ParaNum"/>
    <w:link w:val="Heading8Char"/>
    <w:qFormat/>
    <w:rsid w:val="00054EE4"/>
    <w:pPr>
      <w:numPr>
        <w:ilvl w:val="7"/>
        <w:numId w:val="2"/>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054EE4"/>
    <w:pPr>
      <w:numPr>
        <w:ilvl w:val="8"/>
        <w:numId w:val="2"/>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BD5D5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5D57"/>
  </w:style>
  <w:style w:type="paragraph" w:styleId="FootnoteText">
    <w:name w:val="footnote text"/>
    <w:link w:val="FootnoteTextChar"/>
    <w:rsid w:val="00054EE4"/>
    <w:pPr>
      <w:spacing w:after="120"/>
    </w:pPr>
  </w:style>
  <w:style w:type="character" w:styleId="FootnoteReference">
    <w:name w:val="footnote reference"/>
    <w:rsid w:val="00054EE4"/>
    <w:rPr>
      <w:rFonts w:ascii="Times New Roman" w:hAnsi="Times New Roman"/>
      <w:dstrike w:val="0"/>
      <w:color w:val="auto"/>
      <w:sz w:val="20"/>
      <w:vertAlign w:val="superscript"/>
    </w:rPr>
  </w:style>
  <w:style w:type="paragraph" w:styleId="Footer">
    <w:name w:val="footer"/>
    <w:basedOn w:val="Normal"/>
    <w:rsid w:val="00054EE4"/>
    <w:pPr>
      <w:tabs>
        <w:tab w:val="center" w:pos="4320"/>
        <w:tab w:val="right" w:pos="8640"/>
      </w:tabs>
    </w:pPr>
  </w:style>
  <w:style w:type="character" w:styleId="PageNumber">
    <w:name w:val="page number"/>
    <w:basedOn w:val="DefaultParagraphFont"/>
    <w:rsid w:val="00054EE4"/>
  </w:style>
  <w:style w:type="paragraph" w:styleId="Header">
    <w:name w:val="header"/>
    <w:basedOn w:val="Normal"/>
    <w:autoRedefine/>
    <w:rsid w:val="00054EE4"/>
    <w:pPr>
      <w:tabs>
        <w:tab w:val="center" w:pos="4680"/>
        <w:tab w:val="right" w:pos="9360"/>
      </w:tabs>
    </w:pPr>
    <w:rPr>
      <w:b/>
    </w:rPr>
  </w:style>
  <w:style w:type="paragraph" w:styleId="ListParagraph">
    <w:name w:val="List Paragraph"/>
    <w:basedOn w:val="Normal"/>
    <w:uiPriority w:val="34"/>
    <w:qFormat/>
    <w:rsid w:val="00785410"/>
    <w:pPr>
      <w:ind w:left="720"/>
    </w:pPr>
  </w:style>
  <w:style w:type="character" w:styleId="CommentReference">
    <w:name w:val="annotation reference"/>
    <w:rsid w:val="003F426D"/>
    <w:rPr>
      <w:sz w:val="16"/>
      <w:szCs w:val="16"/>
    </w:rPr>
  </w:style>
  <w:style w:type="paragraph" w:styleId="CommentText">
    <w:name w:val="annotation text"/>
    <w:basedOn w:val="Normal"/>
    <w:link w:val="CommentTextChar"/>
    <w:rsid w:val="003F426D"/>
    <w:rPr>
      <w:sz w:val="20"/>
    </w:rPr>
  </w:style>
  <w:style w:type="character" w:customStyle="1" w:styleId="CommentTextChar">
    <w:name w:val="Comment Text Char"/>
    <w:basedOn w:val="DefaultParagraphFont"/>
    <w:link w:val="CommentText"/>
    <w:rsid w:val="003F426D"/>
  </w:style>
  <w:style w:type="paragraph" w:styleId="CommentSubject">
    <w:name w:val="annotation subject"/>
    <w:basedOn w:val="CommentText"/>
    <w:next w:val="CommentText"/>
    <w:link w:val="CommentSubjectChar"/>
    <w:rsid w:val="003F426D"/>
    <w:rPr>
      <w:b/>
      <w:bCs/>
    </w:rPr>
  </w:style>
  <w:style w:type="character" w:customStyle="1" w:styleId="CommentSubjectChar">
    <w:name w:val="Comment Subject Char"/>
    <w:link w:val="CommentSubject"/>
    <w:rsid w:val="003F426D"/>
    <w:rPr>
      <w:b/>
      <w:bCs/>
    </w:rPr>
  </w:style>
  <w:style w:type="paragraph" w:styleId="BalloonText">
    <w:name w:val="Balloon Text"/>
    <w:basedOn w:val="Normal"/>
    <w:link w:val="BalloonTextChar"/>
    <w:rsid w:val="003F426D"/>
    <w:rPr>
      <w:rFonts w:ascii="Tahoma" w:hAnsi="Tahoma" w:cs="Tahoma"/>
      <w:sz w:val="16"/>
      <w:szCs w:val="16"/>
    </w:rPr>
  </w:style>
  <w:style w:type="character" w:customStyle="1" w:styleId="BalloonTextChar">
    <w:name w:val="Balloon Text Char"/>
    <w:link w:val="BalloonText"/>
    <w:rsid w:val="003F426D"/>
    <w:rPr>
      <w:rFonts w:ascii="Tahoma" w:hAnsi="Tahoma" w:cs="Tahoma"/>
      <w:sz w:val="16"/>
      <w:szCs w:val="16"/>
    </w:rPr>
  </w:style>
  <w:style w:type="paragraph" w:customStyle="1" w:styleId="ParaNum">
    <w:name w:val="ParaNum"/>
    <w:basedOn w:val="Normal"/>
    <w:rsid w:val="00054EE4"/>
    <w:pPr>
      <w:numPr>
        <w:numId w:val="1"/>
      </w:numPr>
      <w:tabs>
        <w:tab w:val="clear" w:pos="1080"/>
        <w:tab w:val="num" w:pos="1440"/>
      </w:tabs>
      <w:spacing w:after="120"/>
    </w:pPr>
  </w:style>
  <w:style w:type="character" w:styleId="Hyperlink">
    <w:name w:val="Hyperlink"/>
    <w:rsid w:val="00054EE4"/>
    <w:rPr>
      <w:color w:val="0000FF"/>
      <w:u w:val="single"/>
    </w:rPr>
  </w:style>
  <w:style w:type="paragraph" w:customStyle="1" w:styleId="xmsonormal">
    <w:name w:val="x_msonormal"/>
    <w:basedOn w:val="Normal"/>
    <w:rsid w:val="00C56A99"/>
    <w:pPr>
      <w:spacing w:before="100" w:beforeAutospacing="1" w:after="100" w:afterAutospacing="1"/>
    </w:pPr>
  </w:style>
  <w:style w:type="paragraph" w:styleId="PlainText">
    <w:name w:val="Plain Text"/>
    <w:basedOn w:val="Normal"/>
    <w:link w:val="PlainTextChar"/>
    <w:uiPriority w:val="99"/>
    <w:unhideWhenUsed/>
    <w:rsid w:val="001D36CD"/>
    <w:rPr>
      <w:rFonts w:ascii="Calibri" w:hAnsi="Calibri" w:cs="Consolas"/>
      <w:szCs w:val="21"/>
    </w:rPr>
  </w:style>
  <w:style w:type="character" w:customStyle="1" w:styleId="PlainTextChar">
    <w:name w:val="Plain Text Char"/>
    <w:basedOn w:val="DefaultParagraphFont"/>
    <w:link w:val="PlainText"/>
    <w:uiPriority w:val="99"/>
    <w:rsid w:val="001D36CD"/>
    <w:rPr>
      <w:rFonts w:ascii="Calibri" w:eastAsiaTheme="minorHAnsi" w:hAnsi="Calibri" w:cs="Consolas"/>
      <w:sz w:val="22"/>
      <w:szCs w:val="21"/>
    </w:rPr>
  </w:style>
  <w:style w:type="character" w:customStyle="1" w:styleId="FootnoteTextChar">
    <w:name w:val="Footnote Text Char"/>
    <w:basedOn w:val="DefaultParagraphFont"/>
    <w:link w:val="FootnoteText"/>
    <w:rsid w:val="00031E35"/>
  </w:style>
  <w:style w:type="character" w:customStyle="1" w:styleId="Heading1Char">
    <w:name w:val="Heading 1 Char"/>
    <w:basedOn w:val="DefaultParagraphFont"/>
    <w:link w:val="Heading1"/>
    <w:rsid w:val="00B53D22"/>
    <w:rPr>
      <w:rFonts w:ascii="Times New Roman Bold" w:hAnsi="Times New Roman Bold"/>
      <w:b/>
      <w:caps/>
      <w:snapToGrid w:val="0"/>
      <w:kern w:val="28"/>
      <w:sz w:val="22"/>
    </w:rPr>
  </w:style>
  <w:style w:type="character" w:customStyle="1" w:styleId="Heading2Char">
    <w:name w:val="Heading 2 Char"/>
    <w:basedOn w:val="DefaultParagraphFont"/>
    <w:link w:val="Heading2"/>
    <w:rsid w:val="005D0BCD"/>
    <w:rPr>
      <w:b/>
      <w:snapToGrid w:val="0"/>
      <w:kern w:val="28"/>
      <w:sz w:val="22"/>
    </w:rPr>
  </w:style>
  <w:style w:type="character" w:customStyle="1" w:styleId="Heading3Char">
    <w:name w:val="Heading 3 Char"/>
    <w:basedOn w:val="DefaultParagraphFont"/>
    <w:link w:val="Heading3"/>
    <w:rsid w:val="005D0BCD"/>
    <w:rPr>
      <w:b/>
      <w:snapToGrid w:val="0"/>
      <w:kern w:val="28"/>
      <w:sz w:val="22"/>
    </w:rPr>
  </w:style>
  <w:style w:type="character" w:customStyle="1" w:styleId="Heading4Char">
    <w:name w:val="Heading 4 Char"/>
    <w:basedOn w:val="DefaultParagraphFont"/>
    <w:link w:val="Heading4"/>
    <w:rsid w:val="005D0BCD"/>
    <w:rPr>
      <w:b/>
      <w:snapToGrid w:val="0"/>
      <w:kern w:val="28"/>
      <w:sz w:val="22"/>
    </w:rPr>
  </w:style>
  <w:style w:type="character" w:customStyle="1" w:styleId="Heading5Char">
    <w:name w:val="Heading 5 Char"/>
    <w:basedOn w:val="DefaultParagraphFont"/>
    <w:link w:val="Heading5"/>
    <w:rsid w:val="005D0BCD"/>
    <w:rPr>
      <w:b/>
      <w:snapToGrid w:val="0"/>
      <w:kern w:val="28"/>
      <w:sz w:val="22"/>
    </w:rPr>
  </w:style>
  <w:style w:type="character" w:customStyle="1" w:styleId="Heading6Char">
    <w:name w:val="Heading 6 Char"/>
    <w:basedOn w:val="DefaultParagraphFont"/>
    <w:link w:val="Heading6"/>
    <w:rsid w:val="005D0BCD"/>
    <w:rPr>
      <w:b/>
      <w:snapToGrid w:val="0"/>
      <w:kern w:val="28"/>
      <w:sz w:val="22"/>
    </w:rPr>
  </w:style>
  <w:style w:type="character" w:customStyle="1" w:styleId="Heading7Char">
    <w:name w:val="Heading 7 Char"/>
    <w:basedOn w:val="DefaultParagraphFont"/>
    <w:link w:val="Heading7"/>
    <w:rsid w:val="005D0BCD"/>
    <w:rPr>
      <w:b/>
      <w:snapToGrid w:val="0"/>
      <w:kern w:val="28"/>
      <w:sz w:val="22"/>
    </w:rPr>
  </w:style>
  <w:style w:type="character" w:customStyle="1" w:styleId="Heading8Char">
    <w:name w:val="Heading 8 Char"/>
    <w:basedOn w:val="DefaultParagraphFont"/>
    <w:link w:val="Heading8"/>
    <w:rsid w:val="005D0BCD"/>
    <w:rPr>
      <w:b/>
      <w:snapToGrid w:val="0"/>
      <w:kern w:val="28"/>
      <w:sz w:val="22"/>
    </w:rPr>
  </w:style>
  <w:style w:type="character" w:customStyle="1" w:styleId="Heading9Char">
    <w:name w:val="Heading 9 Char"/>
    <w:basedOn w:val="DefaultParagraphFont"/>
    <w:link w:val="Heading9"/>
    <w:rsid w:val="005D0BCD"/>
    <w:rPr>
      <w:b/>
      <w:snapToGrid w:val="0"/>
      <w:kern w:val="28"/>
      <w:sz w:val="22"/>
    </w:rPr>
  </w:style>
  <w:style w:type="paragraph" w:styleId="EndnoteText">
    <w:name w:val="endnote text"/>
    <w:basedOn w:val="Normal"/>
    <w:link w:val="EndnoteTextChar"/>
    <w:rsid w:val="00054EE4"/>
    <w:rPr>
      <w:sz w:val="20"/>
    </w:rPr>
  </w:style>
  <w:style w:type="character" w:customStyle="1" w:styleId="EndnoteTextChar">
    <w:name w:val="Endnote Text Char"/>
    <w:basedOn w:val="DefaultParagraphFont"/>
    <w:link w:val="EndnoteText"/>
    <w:rsid w:val="005D0BCD"/>
    <w:rPr>
      <w:snapToGrid w:val="0"/>
      <w:kern w:val="28"/>
    </w:rPr>
  </w:style>
  <w:style w:type="character" w:styleId="EndnoteReference">
    <w:name w:val="endnote reference"/>
    <w:rsid w:val="00054EE4"/>
    <w:rPr>
      <w:vertAlign w:val="superscript"/>
    </w:rPr>
  </w:style>
  <w:style w:type="paragraph" w:styleId="TOC1">
    <w:name w:val="toc 1"/>
    <w:basedOn w:val="Normal"/>
    <w:next w:val="Normal"/>
    <w:rsid w:val="00054EE4"/>
    <w:pPr>
      <w:tabs>
        <w:tab w:val="left" w:pos="360"/>
        <w:tab w:val="right" w:leader="dot" w:pos="9360"/>
      </w:tabs>
      <w:suppressAutoHyphens/>
      <w:ind w:left="360" w:right="720" w:hanging="360"/>
    </w:pPr>
    <w:rPr>
      <w:caps/>
      <w:noProof/>
    </w:rPr>
  </w:style>
  <w:style w:type="paragraph" w:styleId="TOC2">
    <w:name w:val="toc 2"/>
    <w:basedOn w:val="Normal"/>
    <w:next w:val="Normal"/>
    <w:rsid w:val="00054EE4"/>
    <w:pPr>
      <w:tabs>
        <w:tab w:val="left" w:pos="720"/>
        <w:tab w:val="right" w:leader="dot" w:pos="9360"/>
      </w:tabs>
      <w:suppressAutoHyphens/>
      <w:ind w:left="720" w:right="720" w:hanging="360"/>
    </w:pPr>
    <w:rPr>
      <w:noProof/>
    </w:rPr>
  </w:style>
  <w:style w:type="paragraph" w:styleId="TOC3">
    <w:name w:val="toc 3"/>
    <w:basedOn w:val="Normal"/>
    <w:next w:val="Normal"/>
    <w:rsid w:val="00054EE4"/>
    <w:pPr>
      <w:tabs>
        <w:tab w:val="left" w:pos="1080"/>
        <w:tab w:val="right" w:leader="dot" w:pos="9360"/>
      </w:tabs>
      <w:suppressAutoHyphens/>
      <w:ind w:left="1080" w:right="720" w:hanging="360"/>
    </w:pPr>
    <w:rPr>
      <w:noProof/>
    </w:rPr>
  </w:style>
  <w:style w:type="paragraph" w:styleId="TOC4">
    <w:name w:val="toc 4"/>
    <w:basedOn w:val="Normal"/>
    <w:next w:val="Normal"/>
    <w:autoRedefine/>
    <w:rsid w:val="00054EE4"/>
    <w:pPr>
      <w:tabs>
        <w:tab w:val="left" w:pos="1440"/>
        <w:tab w:val="right" w:leader="dot" w:pos="9360"/>
      </w:tabs>
      <w:suppressAutoHyphens/>
      <w:ind w:left="1440" w:right="720" w:hanging="360"/>
    </w:pPr>
    <w:rPr>
      <w:noProof/>
    </w:rPr>
  </w:style>
  <w:style w:type="paragraph" w:styleId="TOC5">
    <w:name w:val="toc 5"/>
    <w:basedOn w:val="Normal"/>
    <w:next w:val="Normal"/>
    <w:autoRedefine/>
    <w:rsid w:val="00054EE4"/>
    <w:pPr>
      <w:tabs>
        <w:tab w:val="left" w:pos="1800"/>
        <w:tab w:val="right" w:leader="dot" w:pos="9360"/>
      </w:tabs>
      <w:suppressAutoHyphens/>
      <w:ind w:left="1800" w:right="720" w:hanging="360"/>
    </w:pPr>
    <w:rPr>
      <w:noProof/>
    </w:rPr>
  </w:style>
  <w:style w:type="paragraph" w:styleId="TOC6">
    <w:name w:val="toc 6"/>
    <w:basedOn w:val="Normal"/>
    <w:next w:val="Normal"/>
    <w:autoRedefine/>
    <w:rsid w:val="00054EE4"/>
    <w:pPr>
      <w:tabs>
        <w:tab w:val="left" w:pos="2160"/>
        <w:tab w:val="right" w:leader="dot" w:pos="9360"/>
      </w:tabs>
      <w:suppressAutoHyphens/>
      <w:ind w:left="2160" w:hanging="360"/>
    </w:pPr>
    <w:rPr>
      <w:noProof/>
    </w:rPr>
  </w:style>
  <w:style w:type="paragraph" w:styleId="TOC7">
    <w:name w:val="toc 7"/>
    <w:basedOn w:val="Normal"/>
    <w:next w:val="Normal"/>
    <w:autoRedefine/>
    <w:rsid w:val="00054EE4"/>
    <w:pPr>
      <w:tabs>
        <w:tab w:val="left" w:pos="2520"/>
        <w:tab w:val="right" w:leader="dot" w:pos="9360"/>
      </w:tabs>
      <w:suppressAutoHyphens/>
      <w:ind w:left="2520" w:hanging="360"/>
    </w:pPr>
    <w:rPr>
      <w:noProof/>
    </w:rPr>
  </w:style>
  <w:style w:type="paragraph" w:styleId="TOC8">
    <w:name w:val="toc 8"/>
    <w:basedOn w:val="Normal"/>
    <w:next w:val="Normal"/>
    <w:autoRedefine/>
    <w:rsid w:val="00054EE4"/>
    <w:pPr>
      <w:tabs>
        <w:tab w:val="left" w:pos="2880"/>
        <w:tab w:val="right" w:leader="dot" w:pos="9360"/>
      </w:tabs>
      <w:suppressAutoHyphens/>
      <w:ind w:left="2880" w:hanging="360"/>
    </w:pPr>
    <w:rPr>
      <w:noProof/>
    </w:rPr>
  </w:style>
  <w:style w:type="paragraph" w:styleId="TOC9">
    <w:name w:val="toc 9"/>
    <w:basedOn w:val="Normal"/>
    <w:next w:val="Normal"/>
    <w:autoRedefine/>
    <w:rsid w:val="00054EE4"/>
    <w:pPr>
      <w:tabs>
        <w:tab w:val="left" w:pos="3240"/>
        <w:tab w:val="right" w:leader="dot" w:pos="9360"/>
      </w:tabs>
      <w:suppressAutoHyphens/>
      <w:ind w:left="3240" w:hanging="360"/>
    </w:pPr>
    <w:rPr>
      <w:noProof/>
    </w:rPr>
  </w:style>
  <w:style w:type="paragraph" w:styleId="TOAHeading">
    <w:name w:val="toa heading"/>
    <w:basedOn w:val="Normal"/>
    <w:next w:val="Normal"/>
    <w:rsid w:val="00054EE4"/>
    <w:pPr>
      <w:tabs>
        <w:tab w:val="right" w:pos="9360"/>
      </w:tabs>
      <w:suppressAutoHyphens/>
    </w:pPr>
  </w:style>
  <w:style w:type="character" w:customStyle="1" w:styleId="EquationCaption">
    <w:name w:val="_Equation Caption"/>
    <w:rsid w:val="00054EE4"/>
  </w:style>
  <w:style w:type="paragraph" w:styleId="BlockText">
    <w:name w:val="Block Text"/>
    <w:basedOn w:val="Normal"/>
    <w:rsid w:val="00054EE4"/>
    <w:pPr>
      <w:spacing w:after="240"/>
      <w:ind w:left="1440" w:right="1440"/>
    </w:pPr>
  </w:style>
  <w:style w:type="paragraph" w:customStyle="1" w:styleId="Paratitle">
    <w:name w:val="Para title"/>
    <w:basedOn w:val="Normal"/>
    <w:rsid w:val="00054EE4"/>
    <w:pPr>
      <w:tabs>
        <w:tab w:val="center" w:pos="9270"/>
      </w:tabs>
      <w:spacing w:after="240"/>
    </w:pPr>
    <w:rPr>
      <w:spacing w:val="-2"/>
    </w:rPr>
  </w:style>
  <w:style w:type="paragraph" w:customStyle="1" w:styleId="Bullet">
    <w:name w:val="Bullet"/>
    <w:basedOn w:val="Normal"/>
    <w:rsid w:val="00054EE4"/>
    <w:pPr>
      <w:tabs>
        <w:tab w:val="left" w:pos="2160"/>
      </w:tabs>
      <w:spacing w:after="220"/>
      <w:ind w:left="2160" w:hanging="720"/>
    </w:pPr>
  </w:style>
  <w:style w:type="paragraph" w:customStyle="1" w:styleId="TableFormat">
    <w:name w:val="TableFormat"/>
    <w:basedOn w:val="Bullet"/>
    <w:rsid w:val="00054EE4"/>
    <w:pPr>
      <w:tabs>
        <w:tab w:val="clear" w:pos="2160"/>
        <w:tab w:val="left" w:pos="5040"/>
      </w:tabs>
      <w:ind w:left="5040" w:hanging="3600"/>
    </w:pPr>
  </w:style>
  <w:style w:type="paragraph" w:customStyle="1" w:styleId="TOCTitle">
    <w:name w:val="TOC Title"/>
    <w:basedOn w:val="Normal"/>
    <w:rsid w:val="00054EE4"/>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54EE4"/>
    <w:pPr>
      <w:jc w:val="center"/>
    </w:pPr>
    <w:rPr>
      <w:rFonts w:ascii="Times New Roman Bold" w:hAnsi="Times New Roman Bold"/>
      <w:b/>
      <w:bCs/>
      <w:caps/>
    </w:rPr>
  </w:style>
  <w:style w:type="paragraph" w:styleId="Revision">
    <w:name w:val="Revision"/>
    <w:hidden/>
    <w:uiPriority w:val="99"/>
    <w:semiHidden/>
    <w:rsid w:val="005D0398"/>
    <w:rPr>
      <w:snapToGrid w:val="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7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2907</Words>
  <Characters>16571</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19440</CharactersWithSpaces>
  <SharedDoc>false</SharedDoc>
  <HyperlinkBase> </HyperlinkBase>
  <HLinks>
    <vt:vector size="6" baseType="variant">
      <vt:variant>
        <vt:i4>2687039</vt:i4>
      </vt:variant>
      <vt:variant>
        <vt:i4>3</vt:i4>
      </vt:variant>
      <vt:variant>
        <vt:i4>0</vt:i4>
      </vt:variant>
      <vt:variant>
        <vt:i4>5</vt:i4>
      </vt:variant>
      <vt:variant>
        <vt:lpwstr>http://www.kirotv.com/news/news/sex-offenders-found-working-puyallup-fair/nZwHx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2014-11-06T19:23:00Z</cp:lastPrinted>
  <dcterms:created xsi:type="dcterms:W3CDTF">2014-11-07T17:42:00Z</dcterms:created>
  <dcterms:modified xsi:type="dcterms:W3CDTF">2014-11-07T17:42:00Z</dcterms:modified>
</cp:coreProperties>
</file>