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F4" w:rsidRPr="008A65E6" w:rsidRDefault="00477B6C">
      <w:pPr>
        <w:pStyle w:val="Body"/>
        <w:rPr>
          <w:rFonts w:ascii="Arial" w:hAnsi="Arial" w:cs="Arial"/>
          <w:b/>
          <w:sz w:val="24"/>
          <w:u w:val="single"/>
        </w:rPr>
      </w:pPr>
      <w:r w:rsidRPr="008A65E6">
        <w:rPr>
          <w:rFonts w:ascii="Arial" w:hAnsi="Arial" w:cs="Arial"/>
          <w:b/>
          <w:sz w:val="24"/>
          <w:u w:val="single"/>
        </w:rPr>
        <w:t>Ad hoc Trademark Committee</w:t>
      </w:r>
    </w:p>
    <w:p w:rsidR="00C526F4" w:rsidRPr="008A65E6" w:rsidRDefault="00C526F4">
      <w:pPr>
        <w:pStyle w:val="Body"/>
        <w:rPr>
          <w:rFonts w:ascii="Arial" w:hAnsi="Arial" w:cs="Arial"/>
        </w:rPr>
      </w:pPr>
    </w:p>
    <w:p w:rsidR="00C526F4" w:rsidRPr="008A65E6" w:rsidRDefault="00477B6C">
      <w:pPr>
        <w:pStyle w:val="Body"/>
        <w:rPr>
          <w:rFonts w:ascii="Arial" w:hAnsi="Arial" w:cs="Arial"/>
        </w:rPr>
      </w:pPr>
      <w:r w:rsidRPr="008A65E6">
        <w:rPr>
          <w:rFonts w:ascii="Arial" w:hAnsi="Arial" w:cs="Arial"/>
        </w:rPr>
        <w:t xml:space="preserve">There has been some recent interest in the subject of ARRL trademarks.  Besides copyrights, trademarks represent ARRL’s most </w:t>
      </w:r>
      <w:r w:rsidR="004D2259" w:rsidRPr="008A65E6">
        <w:rPr>
          <w:rFonts w:ascii="Arial" w:hAnsi="Arial" w:cs="Arial"/>
        </w:rPr>
        <w:t>basic</w:t>
      </w:r>
      <w:r w:rsidRPr="008A65E6">
        <w:rPr>
          <w:rFonts w:ascii="Arial" w:hAnsi="Arial" w:cs="Arial"/>
        </w:rPr>
        <w:t xml:space="preserve"> intellectual property assets.  At the March 2017 meeting of the Executive Committee, I </w:t>
      </w:r>
      <w:r w:rsidRPr="008A65E6">
        <w:rPr>
          <w:rFonts w:ascii="Arial" w:hAnsi="Arial" w:cs="Arial"/>
        </w:rPr>
        <w:t>proposed the formation of an ad hoc committee to:</w:t>
      </w:r>
    </w:p>
    <w:p w:rsidR="00C526F4" w:rsidRPr="008A65E6" w:rsidRDefault="00477B6C" w:rsidP="005D02CA">
      <w:pPr>
        <w:pStyle w:val="Body"/>
        <w:numPr>
          <w:ilvl w:val="0"/>
          <w:numId w:val="2"/>
        </w:numPr>
        <w:ind w:left="1080"/>
        <w:rPr>
          <w:rFonts w:ascii="Arial" w:hAnsi="Arial" w:cs="Arial"/>
        </w:rPr>
      </w:pPr>
      <w:r w:rsidRPr="008A65E6">
        <w:rPr>
          <w:rFonts w:ascii="Arial" w:hAnsi="Arial" w:cs="Arial"/>
        </w:rPr>
        <w:t>Review and inventory existing trademarks</w:t>
      </w:r>
    </w:p>
    <w:p w:rsidR="00C526F4" w:rsidRPr="008A65E6" w:rsidRDefault="00477B6C" w:rsidP="005D02CA">
      <w:pPr>
        <w:pStyle w:val="Body"/>
        <w:numPr>
          <w:ilvl w:val="0"/>
          <w:numId w:val="2"/>
        </w:numPr>
        <w:ind w:left="1080"/>
        <w:rPr>
          <w:rFonts w:ascii="Arial" w:hAnsi="Arial" w:cs="Arial"/>
        </w:rPr>
      </w:pPr>
      <w:r w:rsidRPr="008A65E6">
        <w:rPr>
          <w:rFonts w:ascii="Arial" w:hAnsi="Arial" w:cs="Arial"/>
        </w:rPr>
        <w:t>Identify potential additional trademarks</w:t>
      </w:r>
    </w:p>
    <w:p w:rsidR="00C526F4" w:rsidRPr="008A65E6" w:rsidRDefault="00477B6C" w:rsidP="005D02CA">
      <w:pPr>
        <w:pStyle w:val="Body"/>
        <w:numPr>
          <w:ilvl w:val="0"/>
          <w:numId w:val="2"/>
        </w:numPr>
        <w:ind w:left="1080"/>
        <w:rPr>
          <w:rFonts w:ascii="Arial" w:hAnsi="Arial" w:cs="Arial"/>
        </w:rPr>
      </w:pPr>
      <w:r w:rsidRPr="008A65E6">
        <w:rPr>
          <w:rFonts w:ascii="Arial" w:hAnsi="Arial" w:cs="Arial"/>
        </w:rPr>
        <w:t>Propose a strategy for ongoing trademark policy for ARRL</w:t>
      </w:r>
    </w:p>
    <w:p w:rsidR="00C526F4" w:rsidRPr="008A65E6" w:rsidRDefault="00477B6C" w:rsidP="005D02CA">
      <w:pPr>
        <w:pStyle w:val="Body"/>
        <w:numPr>
          <w:ilvl w:val="0"/>
          <w:numId w:val="2"/>
        </w:numPr>
        <w:ind w:left="1080"/>
        <w:rPr>
          <w:rFonts w:ascii="Arial" w:hAnsi="Arial" w:cs="Arial"/>
        </w:rPr>
      </w:pPr>
      <w:r w:rsidRPr="008A65E6">
        <w:rPr>
          <w:rFonts w:ascii="Arial" w:hAnsi="Arial" w:cs="Arial"/>
        </w:rPr>
        <w:t>Develop guidelines or style manual for trademark labeling for ARRL</w:t>
      </w:r>
    </w:p>
    <w:p w:rsidR="00C526F4" w:rsidRPr="008A65E6" w:rsidRDefault="00C526F4">
      <w:pPr>
        <w:pStyle w:val="Body"/>
        <w:rPr>
          <w:rFonts w:ascii="Arial" w:hAnsi="Arial" w:cs="Arial"/>
        </w:rPr>
      </w:pPr>
    </w:p>
    <w:p w:rsidR="00C526F4" w:rsidRPr="008A65E6" w:rsidRDefault="00477B6C">
      <w:pPr>
        <w:pStyle w:val="Body"/>
        <w:rPr>
          <w:rFonts w:ascii="Arial" w:hAnsi="Arial" w:cs="Arial"/>
        </w:rPr>
      </w:pPr>
      <w:r w:rsidRPr="008A65E6">
        <w:rPr>
          <w:rFonts w:ascii="Arial" w:hAnsi="Arial" w:cs="Arial"/>
        </w:rPr>
        <w:t>The Trademark Committee was identified by President Roderick on May 11, and includes the following individuals:</w:t>
      </w:r>
    </w:p>
    <w:p w:rsidR="00C526F4" w:rsidRPr="008A65E6" w:rsidRDefault="00477B6C" w:rsidP="005D02CA">
      <w:pPr>
        <w:pStyle w:val="Body"/>
        <w:ind w:left="720"/>
        <w:rPr>
          <w:rFonts w:ascii="Arial" w:hAnsi="Arial" w:cs="Arial"/>
        </w:rPr>
      </w:pPr>
      <w:r w:rsidRPr="008A65E6">
        <w:rPr>
          <w:rFonts w:ascii="Arial" w:hAnsi="Arial" w:cs="Arial"/>
        </w:rPr>
        <w:t xml:space="preserve">Rod </w:t>
      </w:r>
      <w:proofErr w:type="spellStart"/>
      <w:r w:rsidRPr="008A65E6">
        <w:rPr>
          <w:rFonts w:ascii="Arial" w:hAnsi="Arial" w:cs="Arial"/>
        </w:rPr>
        <w:t>Blocksome</w:t>
      </w:r>
      <w:proofErr w:type="spellEnd"/>
      <w:r w:rsidRPr="008A65E6">
        <w:rPr>
          <w:rFonts w:ascii="Arial" w:hAnsi="Arial" w:cs="Arial"/>
        </w:rPr>
        <w:t xml:space="preserve"> (PSC)</w:t>
      </w:r>
    </w:p>
    <w:p w:rsidR="005D02CA" w:rsidRPr="008A65E6" w:rsidRDefault="005D02CA" w:rsidP="005D02CA">
      <w:pPr>
        <w:pStyle w:val="Body"/>
        <w:ind w:left="720"/>
        <w:rPr>
          <w:rFonts w:ascii="Arial" w:hAnsi="Arial" w:cs="Arial"/>
        </w:rPr>
      </w:pPr>
      <w:r w:rsidRPr="008A65E6">
        <w:rPr>
          <w:rFonts w:ascii="Arial" w:hAnsi="Arial" w:cs="Arial"/>
        </w:rPr>
        <w:t>Dan Henderson (HQ)</w:t>
      </w:r>
    </w:p>
    <w:p w:rsidR="005D02CA" w:rsidRPr="008A65E6" w:rsidRDefault="005D02CA" w:rsidP="005D02CA">
      <w:pPr>
        <w:pStyle w:val="Body"/>
        <w:ind w:left="720"/>
        <w:rPr>
          <w:rFonts w:ascii="Arial" w:hAnsi="Arial" w:cs="Arial"/>
        </w:rPr>
      </w:pPr>
      <w:r w:rsidRPr="008A65E6">
        <w:rPr>
          <w:rFonts w:ascii="Arial" w:hAnsi="Arial" w:cs="Arial"/>
        </w:rPr>
        <w:t>Chris Imlay (Legal)</w:t>
      </w:r>
    </w:p>
    <w:p w:rsidR="00C526F4" w:rsidRPr="008A65E6" w:rsidRDefault="00477B6C" w:rsidP="005D02CA">
      <w:pPr>
        <w:pStyle w:val="Body"/>
        <w:ind w:left="720"/>
        <w:rPr>
          <w:rFonts w:ascii="Arial" w:hAnsi="Arial" w:cs="Arial"/>
        </w:rPr>
      </w:pPr>
      <w:r w:rsidRPr="008A65E6">
        <w:rPr>
          <w:rFonts w:ascii="Arial" w:hAnsi="Arial" w:cs="Arial"/>
        </w:rPr>
        <w:t xml:space="preserve">Rick </w:t>
      </w:r>
      <w:proofErr w:type="spellStart"/>
      <w:r w:rsidRPr="008A65E6">
        <w:rPr>
          <w:rFonts w:ascii="Arial" w:hAnsi="Arial" w:cs="Arial"/>
        </w:rPr>
        <w:t>Niswander</w:t>
      </w:r>
      <w:proofErr w:type="spellEnd"/>
      <w:r w:rsidRPr="008A65E6">
        <w:rPr>
          <w:rFonts w:ascii="Arial" w:hAnsi="Arial" w:cs="Arial"/>
        </w:rPr>
        <w:t xml:space="preserve"> (A&amp;F)</w:t>
      </w:r>
    </w:p>
    <w:p w:rsidR="005D02CA" w:rsidRPr="008A65E6" w:rsidRDefault="005D02CA" w:rsidP="005D02CA">
      <w:pPr>
        <w:pStyle w:val="Body"/>
        <w:ind w:left="720"/>
        <w:rPr>
          <w:rFonts w:ascii="Arial" w:hAnsi="Arial" w:cs="Arial"/>
        </w:rPr>
      </w:pPr>
      <w:r w:rsidRPr="008A65E6">
        <w:rPr>
          <w:rFonts w:ascii="Arial" w:hAnsi="Arial" w:cs="Arial"/>
        </w:rPr>
        <w:t xml:space="preserve">Greg </w:t>
      </w:r>
      <w:proofErr w:type="spellStart"/>
      <w:r w:rsidRPr="008A65E6">
        <w:rPr>
          <w:rFonts w:ascii="Arial" w:hAnsi="Arial" w:cs="Arial"/>
        </w:rPr>
        <w:t>Widin</w:t>
      </w:r>
      <w:proofErr w:type="spellEnd"/>
      <w:r w:rsidRPr="008A65E6">
        <w:rPr>
          <w:rFonts w:ascii="Arial" w:hAnsi="Arial" w:cs="Arial"/>
        </w:rPr>
        <w:t xml:space="preserve"> (chair, EC)</w:t>
      </w:r>
    </w:p>
    <w:p w:rsidR="00C526F4" w:rsidRPr="008A65E6" w:rsidRDefault="00C526F4">
      <w:pPr>
        <w:pStyle w:val="Body"/>
        <w:rPr>
          <w:rFonts w:ascii="Arial" w:hAnsi="Arial" w:cs="Arial"/>
        </w:rPr>
      </w:pPr>
    </w:p>
    <w:p w:rsidR="00C526F4" w:rsidRPr="008A65E6" w:rsidRDefault="00477B6C">
      <w:pPr>
        <w:pStyle w:val="Body"/>
        <w:rPr>
          <w:rFonts w:ascii="Arial" w:hAnsi="Arial" w:cs="Arial"/>
        </w:rPr>
      </w:pPr>
      <w:r w:rsidRPr="008A65E6">
        <w:rPr>
          <w:rFonts w:ascii="Arial" w:hAnsi="Arial" w:cs="Arial"/>
        </w:rPr>
        <w:t>The committee met for the first time the ev</w:t>
      </w:r>
      <w:r w:rsidRPr="008A65E6">
        <w:rPr>
          <w:rFonts w:ascii="Arial" w:hAnsi="Arial" w:cs="Arial"/>
        </w:rPr>
        <w:t>ening of 21 July and mapped out the process described above.</w:t>
      </w:r>
    </w:p>
    <w:p w:rsidR="00C526F4" w:rsidRPr="008A65E6" w:rsidRDefault="00C526F4">
      <w:pPr>
        <w:pStyle w:val="Body"/>
        <w:rPr>
          <w:rFonts w:ascii="Arial" w:hAnsi="Arial" w:cs="Arial"/>
        </w:rPr>
      </w:pPr>
    </w:p>
    <w:p w:rsidR="00C526F4" w:rsidRPr="008A65E6" w:rsidRDefault="00477B6C">
      <w:pPr>
        <w:pStyle w:val="Body"/>
        <w:rPr>
          <w:rFonts w:ascii="Arial" w:hAnsi="Arial" w:cs="Arial"/>
        </w:rPr>
      </w:pPr>
      <w:r w:rsidRPr="008A65E6">
        <w:rPr>
          <w:rFonts w:ascii="Arial" w:hAnsi="Arial" w:cs="Arial"/>
        </w:rPr>
        <w:t>After the formation of the Trademark Committee was approved by the EC, Mr. Imlay requested a high-level overview of ARRL’s trademark situation by Day Pitney LLC (DP).  Their review is attached t</w:t>
      </w:r>
      <w:r w:rsidRPr="008A65E6">
        <w:rPr>
          <w:rFonts w:ascii="Arial" w:hAnsi="Arial" w:cs="Arial"/>
        </w:rPr>
        <w:t>o this summary.</w:t>
      </w:r>
    </w:p>
    <w:p w:rsidR="00C526F4" w:rsidRPr="008A65E6" w:rsidRDefault="00C526F4">
      <w:pPr>
        <w:pStyle w:val="Body"/>
        <w:rPr>
          <w:rFonts w:ascii="Arial" w:hAnsi="Arial" w:cs="Arial"/>
        </w:rPr>
      </w:pPr>
    </w:p>
    <w:p w:rsidR="00C526F4" w:rsidRPr="008A65E6" w:rsidRDefault="00477B6C">
      <w:pPr>
        <w:pStyle w:val="Body"/>
        <w:rPr>
          <w:rFonts w:ascii="Arial" w:hAnsi="Arial" w:cs="Arial"/>
        </w:rPr>
      </w:pPr>
      <w:r w:rsidRPr="008A65E6">
        <w:rPr>
          <w:rFonts w:ascii="Arial" w:hAnsi="Arial" w:cs="Arial"/>
        </w:rPr>
        <w:t>Essentially, Day Pitney finds that though there are possible technical improvements to our trademark registrations, there is nothing requiring urgent revision.</w:t>
      </w:r>
    </w:p>
    <w:p w:rsidR="00C526F4" w:rsidRPr="008A65E6" w:rsidRDefault="00C526F4">
      <w:pPr>
        <w:pStyle w:val="Body"/>
        <w:rPr>
          <w:rFonts w:ascii="Arial" w:hAnsi="Arial" w:cs="Arial"/>
        </w:rPr>
      </w:pPr>
    </w:p>
    <w:p w:rsidR="00C526F4" w:rsidRPr="008A65E6" w:rsidRDefault="00477B6C">
      <w:pPr>
        <w:pStyle w:val="Body"/>
        <w:rPr>
          <w:rFonts w:ascii="Arial" w:hAnsi="Arial" w:cs="Arial"/>
        </w:rPr>
      </w:pPr>
      <w:r w:rsidRPr="008A65E6">
        <w:rPr>
          <w:rFonts w:ascii="Arial" w:hAnsi="Arial" w:cs="Arial"/>
        </w:rPr>
        <w:t>The important thing to keep in mind when considering ARRL’s trademarks, and wh</w:t>
      </w:r>
      <w:r w:rsidRPr="008A65E6">
        <w:rPr>
          <w:rFonts w:ascii="Arial" w:hAnsi="Arial" w:cs="Arial"/>
        </w:rPr>
        <w:t xml:space="preserve">ich DP cannot review, is the appropriate </w:t>
      </w:r>
      <w:r w:rsidRPr="008A65E6">
        <w:rPr>
          <w:rFonts w:ascii="Arial" w:hAnsi="Arial" w:cs="Arial"/>
          <w:i/>
          <w:iCs/>
          <w:u w:val="single"/>
        </w:rPr>
        <w:t>identification</w:t>
      </w:r>
      <w:r w:rsidRPr="008A65E6">
        <w:rPr>
          <w:rFonts w:ascii="Arial" w:hAnsi="Arial" w:cs="Arial"/>
        </w:rPr>
        <w:t xml:space="preserve"> of the names to be use</w:t>
      </w:r>
      <w:r w:rsidR="005D02CA" w:rsidRPr="008A65E6">
        <w:rPr>
          <w:rFonts w:ascii="Arial" w:hAnsi="Arial" w:cs="Arial"/>
        </w:rPr>
        <w:t xml:space="preserve">d as trademarks.  Registration </w:t>
      </w:r>
      <w:r w:rsidRPr="008A65E6">
        <w:rPr>
          <w:rFonts w:ascii="Arial" w:hAnsi="Arial" w:cs="Arial"/>
        </w:rPr>
        <w:t xml:space="preserve">is </w:t>
      </w:r>
      <w:r w:rsidRPr="008A65E6">
        <w:rPr>
          <w:rFonts w:ascii="Arial" w:hAnsi="Arial" w:cs="Arial"/>
          <w:b/>
          <w:bCs/>
          <w:i/>
          <w:iCs/>
          <w:u w:val="single"/>
        </w:rPr>
        <w:t>not</w:t>
      </w:r>
      <w:r w:rsidRPr="008A65E6">
        <w:rPr>
          <w:rFonts w:ascii="Arial" w:hAnsi="Arial" w:cs="Arial"/>
        </w:rPr>
        <w:t xml:space="preserve"> necessary to obtain protection, but marking of the appropriate terms </w:t>
      </w:r>
      <w:r w:rsidRPr="008A65E6">
        <w:rPr>
          <w:rFonts w:ascii="Arial" w:hAnsi="Arial" w:cs="Arial"/>
          <w:b/>
          <w:bCs/>
          <w:i/>
          <w:iCs/>
          <w:u w:val="single"/>
        </w:rPr>
        <w:t>is</w:t>
      </w:r>
      <w:r w:rsidRPr="008A65E6">
        <w:rPr>
          <w:rFonts w:ascii="Arial" w:hAnsi="Arial" w:cs="Arial"/>
        </w:rPr>
        <w:t xml:space="preserve"> necessary for them to be considered trademarks</w:t>
      </w:r>
      <w:r w:rsidR="005D02CA" w:rsidRPr="008A65E6">
        <w:rPr>
          <w:rFonts w:ascii="Arial" w:hAnsi="Arial" w:cs="Arial"/>
        </w:rPr>
        <w:t xml:space="preserve"> and so obtain protection</w:t>
      </w:r>
      <w:r w:rsidRPr="008A65E6">
        <w:rPr>
          <w:rFonts w:ascii="Arial" w:hAnsi="Arial" w:cs="Arial"/>
        </w:rPr>
        <w:t>.  Unregistered trade</w:t>
      </w:r>
      <w:r w:rsidRPr="008A65E6">
        <w:rPr>
          <w:rFonts w:ascii="Arial" w:hAnsi="Arial" w:cs="Arial"/>
        </w:rPr>
        <w:t>marks, appropriately displayed, can still be enforced against use by others.  Registration provides some advantages in the case of infringement</w:t>
      </w:r>
      <w:r w:rsidR="005D02CA" w:rsidRPr="008A65E6">
        <w:rPr>
          <w:rFonts w:ascii="Arial" w:hAnsi="Arial" w:cs="Arial"/>
        </w:rPr>
        <w:t>, as DP describes</w:t>
      </w:r>
      <w:r w:rsidRPr="008A65E6">
        <w:rPr>
          <w:rFonts w:ascii="Arial" w:hAnsi="Arial" w:cs="Arial"/>
        </w:rPr>
        <w:t>, but th</w:t>
      </w:r>
      <w:r w:rsidR="005D02CA" w:rsidRPr="008A65E6">
        <w:rPr>
          <w:rFonts w:ascii="Arial" w:hAnsi="Arial" w:cs="Arial"/>
        </w:rPr>
        <w:t>is is</w:t>
      </w:r>
      <w:r w:rsidRPr="008A65E6">
        <w:rPr>
          <w:rFonts w:ascii="Arial" w:hAnsi="Arial" w:cs="Arial"/>
        </w:rPr>
        <w:t xml:space="preserve"> only obtained when legal proceedings are initiated.  ARRL is unlikely to bring a suit for damages </w:t>
      </w:r>
      <w:r w:rsidRPr="008A65E6">
        <w:rPr>
          <w:rFonts w:ascii="Arial" w:hAnsi="Arial" w:cs="Arial"/>
        </w:rPr>
        <w:t xml:space="preserve">against someone using our trademarks, but we do want to </w:t>
      </w:r>
      <w:r w:rsidR="004D2259" w:rsidRPr="008A65E6">
        <w:rPr>
          <w:rFonts w:ascii="Arial" w:hAnsi="Arial" w:cs="Arial"/>
        </w:rPr>
        <w:t xml:space="preserve">be able to </w:t>
      </w:r>
      <w:r w:rsidRPr="008A65E6">
        <w:rPr>
          <w:rFonts w:ascii="Arial" w:hAnsi="Arial" w:cs="Arial"/>
        </w:rPr>
        <w:t>enforce them against u</w:t>
      </w:r>
      <w:r w:rsidR="005D02CA" w:rsidRPr="008A65E6">
        <w:rPr>
          <w:rFonts w:ascii="Arial" w:hAnsi="Arial" w:cs="Arial"/>
        </w:rPr>
        <w:t xml:space="preserve">se without our permission.  </w:t>
      </w:r>
      <w:proofErr w:type="gramStart"/>
      <w:r w:rsidR="005D02CA" w:rsidRPr="008A65E6">
        <w:rPr>
          <w:rFonts w:ascii="Arial" w:hAnsi="Arial" w:cs="Arial"/>
        </w:rPr>
        <w:t xml:space="preserve">All </w:t>
      </w:r>
      <w:r w:rsidRPr="008A65E6">
        <w:rPr>
          <w:rFonts w:ascii="Arial" w:hAnsi="Arial" w:cs="Arial"/>
        </w:rPr>
        <w:t>this</w:t>
      </w:r>
      <w:proofErr w:type="gramEnd"/>
      <w:r w:rsidRPr="008A65E6">
        <w:rPr>
          <w:rFonts w:ascii="Arial" w:hAnsi="Arial" w:cs="Arial"/>
        </w:rPr>
        <w:t xml:space="preserve"> means that identification of our trademarks is critical to their proper display and hence protection.  </w:t>
      </w:r>
    </w:p>
    <w:p w:rsidR="00C526F4" w:rsidRPr="008A65E6" w:rsidRDefault="00C526F4">
      <w:pPr>
        <w:pStyle w:val="Body"/>
        <w:rPr>
          <w:rFonts w:ascii="Arial" w:hAnsi="Arial" w:cs="Arial"/>
        </w:rPr>
      </w:pPr>
    </w:p>
    <w:p w:rsidR="00C526F4" w:rsidRPr="008A65E6" w:rsidRDefault="00477B6C">
      <w:pPr>
        <w:pStyle w:val="Body"/>
        <w:rPr>
          <w:rFonts w:ascii="Arial" w:hAnsi="Arial" w:cs="Arial"/>
        </w:rPr>
      </w:pPr>
      <w:r w:rsidRPr="008A65E6">
        <w:rPr>
          <w:rFonts w:ascii="Arial" w:hAnsi="Arial" w:cs="Arial"/>
        </w:rPr>
        <w:t>Identifying our current and possible</w:t>
      </w:r>
      <w:r w:rsidRPr="008A65E6">
        <w:rPr>
          <w:rFonts w:ascii="Arial" w:hAnsi="Arial" w:cs="Arial"/>
        </w:rPr>
        <w:t xml:space="preserve"> additional strategic trademarks is the purpose of the ad hoc Trademark Committee.  Please consider the attached DP memo in that light—it describes the technical aspects of our </w:t>
      </w:r>
      <w:r w:rsidRPr="008A65E6">
        <w:rPr>
          <w:rFonts w:ascii="Arial" w:hAnsi="Arial" w:cs="Arial"/>
          <w:u w:val="single"/>
        </w:rPr>
        <w:t>registered</w:t>
      </w:r>
      <w:r w:rsidRPr="008A65E6">
        <w:rPr>
          <w:rFonts w:ascii="Arial" w:hAnsi="Arial" w:cs="Arial"/>
        </w:rPr>
        <w:t xml:space="preserve"> marks, but tells us nothing about whether these are the proper terms</w:t>
      </w:r>
      <w:r w:rsidRPr="008A65E6">
        <w:rPr>
          <w:rFonts w:ascii="Arial" w:hAnsi="Arial" w:cs="Arial"/>
        </w:rPr>
        <w:t xml:space="preserve"> to register, nor whether we have fully identified the appropriate opportunities for trademark marking.</w:t>
      </w:r>
    </w:p>
    <w:p w:rsidR="00C526F4" w:rsidRPr="008A65E6" w:rsidRDefault="00C526F4">
      <w:pPr>
        <w:pStyle w:val="Body"/>
        <w:rPr>
          <w:rFonts w:ascii="Arial" w:hAnsi="Arial" w:cs="Arial"/>
        </w:rPr>
      </w:pPr>
    </w:p>
    <w:p w:rsidR="00C526F4" w:rsidRPr="008A65E6" w:rsidRDefault="00477B6C">
      <w:pPr>
        <w:pStyle w:val="Body"/>
        <w:rPr>
          <w:rFonts w:ascii="Arial" w:hAnsi="Arial" w:cs="Arial"/>
        </w:rPr>
      </w:pPr>
      <w:r w:rsidRPr="008A65E6">
        <w:rPr>
          <w:rFonts w:ascii="Arial" w:hAnsi="Arial" w:cs="Arial"/>
        </w:rPr>
        <w:t xml:space="preserve">-Greg </w:t>
      </w:r>
      <w:proofErr w:type="spellStart"/>
      <w:r w:rsidRPr="008A65E6">
        <w:rPr>
          <w:rFonts w:ascii="Arial" w:hAnsi="Arial" w:cs="Arial"/>
        </w:rPr>
        <w:t>Widin</w:t>
      </w:r>
      <w:proofErr w:type="spellEnd"/>
      <w:r w:rsidRPr="008A65E6">
        <w:rPr>
          <w:rFonts w:ascii="Arial" w:hAnsi="Arial" w:cs="Arial"/>
        </w:rPr>
        <w:t>, K0GW, for the Ad hoc Trademark Committee</w:t>
      </w:r>
    </w:p>
    <w:sectPr w:rsidR="00C526F4" w:rsidRPr="008A65E6" w:rsidSect="00C526F4"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B6C" w:rsidRDefault="00477B6C" w:rsidP="00C526F4">
      <w:r>
        <w:separator/>
      </w:r>
    </w:p>
  </w:endnote>
  <w:endnote w:type="continuationSeparator" w:id="0">
    <w:p w:rsidR="00477B6C" w:rsidRDefault="00477B6C" w:rsidP="00C5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F4" w:rsidRPr="008A65E6" w:rsidRDefault="008A65E6" w:rsidP="008A65E6">
    <w:pPr>
      <w:jc w:val="center"/>
      <w:rPr>
        <w:rFonts w:ascii="Arial" w:hAnsi="Arial" w:cs="Arial"/>
      </w:rPr>
    </w:pPr>
    <w:r w:rsidRPr="008A65E6">
      <w:rPr>
        <w:rFonts w:ascii="Arial" w:hAnsi="Arial" w:cs="Arial"/>
      </w:rPr>
      <w:t>ARRL Board Confidential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B6C" w:rsidRDefault="00477B6C" w:rsidP="00C526F4">
      <w:r>
        <w:separator/>
      </w:r>
    </w:p>
  </w:footnote>
  <w:footnote w:type="continuationSeparator" w:id="0">
    <w:p w:rsidR="00477B6C" w:rsidRDefault="00477B6C" w:rsidP="00C52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F2A4A"/>
    <w:multiLevelType w:val="hybridMultilevel"/>
    <w:tmpl w:val="D6EA79EA"/>
    <w:numStyleLink w:val="Numbered"/>
  </w:abstractNum>
  <w:abstractNum w:abstractNumId="1">
    <w:nsid w:val="75AB7208"/>
    <w:multiLevelType w:val="hybridMultilevel"/>
    <w:tmpl w:val="D6EA79EA"/>
    <w:styleLink w:val="Numbered"/>
    <w:lvl w:ilvl="0" w:tplc="992E1C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3022D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2837C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26434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BC75D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5855B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90723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FCCFF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18C7F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26F4"/>
    <w:rsid w:val="00477B6C"/>
    <w:rsid w:val="004D2259"/>
    <w:rsid w:val="005D02CA"/>
    <w:rsid w:val="008A65E6"/>
    <w:rsid w:val="00C5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26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26F4"/>
    <w:rPr>
      <w:u w:val="single"/>
    </w:rPr>
  </w:style>
  <w:style w:type="paragraph" w:customStyle="1" w:styleId="Body">
    <w:name w:val="Body"/>
    <w:rsid w:val="00C526F4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rsid w:val="00C526F4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8A6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5E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A6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5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GPW</dc:creator>
  <cp:lastModifiedBy>GPW</cp:lastModifiedBy>
  <cp:revision>4</cp:revision>
  <dcterms:created xsi:type="dcterms:W3CDTF">2017-07-24T20:02:00Z</dcterms:created>
  <dcterms:modified xsi:type="dcterms:W3CDTF">2017-07-24T20:38:00Z</dcterms:modified>
</cp:coreProperties>
</file>