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0B" w:rsidRPr="001017F8" w:rsidRDefault="0008420B" w:rsidP="0008420B">
      <w:pPr>
        <w:spacing w:line="276" w:lineRule="auto"/>
        <w:jc w:val="center"/>
        <w:rPr>
          <w:rFonts w:eastAsia="Calibri"/>
          <w:b/>
          <w:bCs/>
        </w:rPr>
      </w:pPr>
      <w:r w:rsidRPr="001017F8">
        <w:rPr>
          <w:rFonts w:eastAsia="Calibri"/>
          <w:b/>
          <w:bCs/>
        </w:rPr>
        <w:t>Before the</w:t>
      </w:r>
    </w:p>
    <w:p w:rsidR="0008420B" w:rsidRPr="001017F8" w:rsidRDefault="0008420B" w:rsidP="0008420B">
      <w:pPr>
        <w:spacing w:line="276" w:lineRule="auto"/>
        <w:jc w:val="center"/>
        <w:rPr>
          <w:rFonts w:ascii="Century Gothic" w:eastAsia="Calibri" w:hAnsi="Century Gothic"/>
          <w:b/>
          <w:bCs/>
          <w:sz w:val="36"/>
          <w:szCs w:val="36"/>
        </w:rPr>
      </w:pPr>
      <w:r w:rsidRPr="001017F8">
        <w:rPr>
          <w:rFonts w:ascii="Century Gothic" w:eastAsia="Calibri" w:hAnsi="Century Gothic"/>
          <w:b/>
          <w:bCs/>
          <w:sz w:val="36"/>
          <w:szCs w:val="36"/>
        </w:rPr>
        <w:t>FEDERAL COMMUNICATIONS COMMISSION</w:t>
      </w:r>
    </w:p>
    <w:p w:rsidR="0008420B" w:rsidRPr="001017F8" w:rsidRDefault="0008420B" w:rsidP="0008420B">
      <w:pPr>
        <w:spacing w:line="276" w:lineRule="auto"/>
        <w:jc w:val="center"/>
        <w:rPr>
          <w:rFonts w:eastAsia="Calibri"/>
          <w:b/>
          <w:bCs/>
        </w:rPr>
      </w:pPr>
      <w:r w:rsidRPr="001017F8">
        <w:rPr>
          <w:rFonts w:eastAsia="Calibri"/>
          <w:b/>
          <w:bCs/>
        </w:rPr>
        <w:t>Washington, D.C. 20554</w:t>
      </w:r>
    </w:p>
    <w:p w:rsidR="0008420B" w:rsidRPr="001017F8" w:rsidRDefault="0008420B" w:rsidP="0008420B">
      <w:pPr>
        <w:spacing w:line="276" w:lineRule="auto"/>
        <w:jc w:val="center"/>
        <w:rPr>
          <w:rFonts w:eastAsia="Calibri"/>
          <w:b/>
          <w:bCs/>
        </w:rPr>
      </w:pPr>
    </w:p>
    <w:p w:rsidR="0008420B" w:rsidRPr="001017F8" w:rsidRDefault="0008420B" w:rsidP="0008420B">
      <w:pPr>
        <w:spacing w:line="276" w:lineRule="auto"/>
        <w:rPr>
          <w:rFonts w:eastAsia="Calibri"/>
          <w:b/>
          <w:bCs/>
        </w:rPr>
      </w:pPr>
      <w:r w:rsidRPr="001017F8">
        <w:rPr>
          <w:rFonts w:eastAsia="Calibri"/>
          <w:b/>
          <w:bCs/>
        </w:rPr>
        <w:t>In the Matter of</w:t>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t>)</w:t>
      </w:r>
    </w:p>
    <w:p w:rsidR="0008420B" w:rsidRPr="001017F8" w:rsidRDefault="0008420B" w:rsidP="0008420B">
      <w:pPr>
        <w:spacing w:line="276" w:lineRule="auto"/>
        <w:rPr>
          <w:rFonts w:eastAsia="Calibri"/>
          <w:b/>
          <w:bCs/>
        </w:rPr>
      </w:pP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t>)</w:t>
      </w:r>
    </w:p>
    <w:p w:rsidR="0008420B" w:rsidRPr="001017F8" w:rsidRDefault="0008420B" w:rsidP="0008420B">
      <w:pPr>
        <w:spacing w:line="276" w:lineRule="auto"/>
        <w:rPr>
          <w:rFonts w:eastAsia="Calibri"/>
          <w:b/>
          <w:bCs/>
        </w:rPr>
      </w:pPr>
      <w:r w:rsidRPr="001017F8">
        <w:rPr>
          <w:rFonts w:eastAsia="Calibri"/>
          <w:b/>
          <w:bCs/>
        </w:rPr>
        <w:t>Amendment of Parts 1, 2, 15, 25, 27, 74, 78, 80, 87,</w:t>
      </w:r>
      <w:r w:rsidRPr="001017F8">
        <w:rPr>
          <w:rFonts w:eastAsia="Calibri"/>
          <w:b/>
          <w:bCs/>
        </w:rPr>
        <w:tab/>
        <w:t>)</w:t>
      </w:r>
      <w:r w:rsidRPr="001017F8">
        <w:rPr>
          <w:rFonts w:eastAsia="Calibri"/>
          <w:b/>
          <w:bCs/>
        </w:rPr>
        <w:tab/>
        <w:t>ET Docket No. 12-338</w:t>
      </w:r>
    </w:p>
    <w:p w:rsidR="0008420B" w:rsidRPr="001017F8" w:rsidRDefault="0008420B" w:rsidP="0008420B">
      <w:pPr>
        <w:spacing w:line="276" w:lineRule="auto"/>
        <w:rPr>
          <w:rFonts w:eastAsia="Calibri"/>
          <w:b/>
          <w:bCs/>
        </w:rPr>
      </w:pPr>
      <w:r w:rsidRPr="001017F8">
        <w:rPr>
          <w:rFonts w:eastAsia="Calibri"/>
          <w:b/>
          <w:bCs/>
        </w:rPr>
        <w:t>90, 97 and 101 of the Commission’s Rules Regarding</w:t>
      </w:r>
      <w:r w:rsidRPr="001017F8">
        <w:rPr>
          <w:rFonts w:eastAsia="Calibri"/>
          <w:b/>
          <w:bCs/>
        </w:rPr>
        <w:tab/>
        <w:t>)</w:t>
      </w:r>
      <w:r w:rsidRPr="001017F8">
        <w:rPr>
          <w:rFonts w:eastAsia="Calibri"/>
          <w:b/>
          <w:bCs/>
        </w:rPr>
        <w:tab/>
        <w:t>(Proceeding Terminated)</w:t>
      </w:r>
    </w:p>
    <w:p w:rsidR="0008420B" w:rsidRPr="001017F8" w:rsidRDefault="0008420B" w:rsidP="0008420B">
      <w:pPr>
        <w:spacing w:line="276" w:lineRule="auto"/>
        <w:rPr>
          <w:rFonts w:eastAsia="Calibri"/>
          <w:b/>
          <w:bCs/>
        </w:rPr>
      </w:pPr>
      <w:r w:rsidRPr="001017F8">
        <w:rPr>
          <w:rFonts w:eastAsia="Calibri"/>
          <w:b/>
          <w:bCs/>
        </w:rPr>
        <w:t>Implementation of the Final Acts of the World</w:t>
      </w:r>
      <w:r w:rsidRPr="001017F8">
        <w:rPr>
          <w:rFonts w:eastAsia="Calibri"/>
          <w:b/>
          <w:bCs/>
        </w:rPr>
        <w:tab/>
      </w:r>
      <w:r w:rsidRPr="001017F8">
        <w:rPr>
          <w:rFonts w:eastAsia="Calibri"/>
          <w:b/>
          <w:bCs/>
        </w:rPr>
        <w:tab/>
        <w:t>)</w:t>
      </w:r>
    </w:p>
    <w:p w:rsidR="0008420B" w:rsidRPr="001017F8" w:rsidRDefault="0008420B" w:rsidP="0008420B">
      <w:pPr>
        <w:spacing w:line="276" w:lineRule="auto"/>
        <w:rPr>
          <w:rFonts w:eastAsia="Calibri"/>
          <w:b/>
          <w:bCs/>
        </w:rPr>
      </w:pPr>
      <w:r w:rsidRPr="001017F8">
        <w:rPr>
          <w:rFonts w:eastAsia="Calibri"/>
          <w:b/>
          <w:bCs/>
        </w:rPr>
        <w:t>Radiocommunication Conference (Geneva, 2007)</w:t>
      </w:r>
      <w:r w:rsidRPr="001017F8">
        <w:rPr>
          <w:rFonts w:eastAsia="Calibri"/>
          <w:b/>
          <w:bCs/>
        </w:rPr>
        <w:tab/>
      </w:r>
      <w:r w:rsidRPr="001017F8">
        <w:rPr>
          <w:rFonts w:eastAsia="Calibri"/>
          <w:b/>
          <w:bCs/>
        </w:rPr>
        <w:tab/>
        <w:t>)</w:t>
      </w:r>
    </w:p>
    <w:p w:rsidR="0008420B" w:rsidRPr="001017F8" w:rsidRDefault="0008420B" w:rsidP="0008420B">
      <w:pPr>
        <w:spacing w:line="276" w:lineRule="auto"/>
        <w:rPr>
          <w:rFonts w:eastAsia="Calibri"/>
          <w:b/>
          <w:bCs/>
        </w:rPr>
      </w:pPr>
      <w:r w:rsidRPr="001017F8">
        <w:rPr>
          <w:rFonts w:eastAsia="Calibri"/>
          <w:b/>
          <w:bCs/>
        </w:rPr>
        <w:t>(WRC-07), Other Allocation Issues, and Related Rule</w:t>
      </w:r>
      <w:r w:rsidRPr="001017F8">
        <w:rPr>
          <w:rFonts w:eastAsia="Calibri"/>
          <w:b/>
          <w:bCs/>
        </w:rPr>
        <w:tab/>
        <w:t>)</w:t>
      </w:r>
    </w:p>
    <w:p w:rsidR="0008420B" w:rsidRPr="001017F8" w:rsidRDefault="0008420B" w:rsidP="0008420B">
      <w:pPr>
        <w:spacing w:line="276" w:lineRule="auto"/>
        <w:rPr>
          <w:rFonts w:eastAsia="Calibri"/>
          <w:b/>
          <w:bCs/>
        </w:rPr>
      </w:pPr>
      <w:r w:rsidRPr="001017F8">
        <w:rPr>
          <w:rFonts w:eastAsia="Calibri"/>
          <w:b/>
          <w:bCs/>
        </w:rPr>
        <w:t>Updates</w:t>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Amendment of Parts 2, 15, 80, 90, 97 and 101 of</w:t>
      </w:r>
      <w:r w:rsidRPr="001017F8">
        <w:rPr>
          <w:rFonts w:eastAsia="Calibri"/>
          <w:b/>
          <w:bCs/>
        </w:rPr>
        <w:tab/>
      </w:r>
      <w:r w:rsidRPr="001017F8">
        <w:rPr>
          <w:rFonts w:eastAsia="Calibri"/>
          <w:b/>
          <w:bCs/>
        </w:rPr>
        <w:tab/>
        <w:t>)</w:t>
      </w:r>
      <w:r w:rsidRPr="001017F8">
        <w:rPr>
          <w:rFonts w:eastAsia="Calibri"/>
          <w:b/>
          <w:bCs/>
        </w:rPr>
        <w:tab/>
        <w:t>ET Docket No. 15-99</w:t>
      </w:r>
    </w:p>
    <w:p w:rsidR="0008420B" w:rsidRPr="001017F8" w:rsidRDefault="0008420B" w:rsidP="0008420B">
      <w:pPr>
        <w:tabs>
          <w:tab w:val="left" w:pos="5490"/>
        </w:tabs>
        <w:spacing w:line="276" w:lineRule="auto"/>
        <w:rPr>
          <w:rFonts w:eastAsia="Calibri"/>
          <w:b/>
          <w:bCs/>
        </w:rPr>
      </w:pPr>
      <w:proofErr w:type="gramStart"/>
      <w:r w:rsidRPr="001017F8">
        <w:rPr>
          <w:rFonts w:eastAsia="Calibri"/>
          <w:b/>
          <w:bCs/>
        </w:rPr>
        <w:t>the</w:t>
      </w:r>
      <w:proofErr w:type="gramEnd"/>
      <w:r w:rsidRPr="001017F8">
        <w:rPr>
          <w:rFonts w:eastAsia="Calibri"/>
          <w:b/>
          <w:bCs/>
        </w:rPr>
        <w:t xml:space="preserve"> Commission’s Rules Regarding Implementation </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proofErr w:type="gramStart"/>
      <w:r w:rsidRPr="001017F8">
        <w:rPr>
          <w:rFonts w:eastAsia="Calibri"/>
          <w:b/>
          <w:bCs/>
        </w:rPr>
        <w:t>of</w:t>
      </w:r>
      <w:proofErr w:type="gramEnd"/>
      <w:r w:rsidRPr="001017F8">
        <w:rPr>
          <w:rFonts w:eastAsia="Calibri"/>
          <w:b/>
          <w:bCs/>
        </w:rPr>
        <w:t xml:space="preserve"> the Final Acts of the World Radiocommunication</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 xml:space="preserve">Conference (Geneva, 2012) (WRC-12), Other </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 xml:space="preserve">Allocation </w:t>
      </w:r>
      <w:proofErr w:type="gramStart"/>
      <w:r w:rsidRPr="001017F8">
        <w:rPr>
          <w:rFonts w:eastAsia="Calibri"/>
          <w:b/>
          <w:bCs/>
        </w:rPr>
        <w:t>Issues, and Related Rule Updates</w:t>
      </w:r>
      <w:r w:rsidRPr="001017F8">
        <w:rPr>
          <w:rFonts w:eastAsia="Calibri"/>
          <w:b/>
          <w:bCs/>
        </w:rPr>
        <w:tab/>
      </w:r>
      <w:r w:rsidRPr="001017F8">
        <w:rPr>
          <w:rFonts w:eastAsia="Calibri"/>
          <w:b/>
          <w:bCs/>
        </w:rPr>
        <w:tab/>
        <w:t>)</w:t>
      </w:r>
      <w:proofErr w:type="gramEnd"/>
    </w:p>
    <w:p w:rsidR="0008420B" w:rsidRPr="001017F8" w:rsidRDefault="0008420B" w:rsidP="0008420B">
      <w:pPr>
        <w:tabs>
          <w:tab w:val="left" w:pos="5490"/>
        </w:tabs>
        <w:spacing w:line="276" w:lineRule="auto"/>
        <w:rPr>
          <w:rFonts w:eastAsia="Calibri"/>
          <w:b/>
          <w:bCs/>
        </w:rPr>
      </w:pP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Petition for Rulemaking of ARRL to Amend Parts 2</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proofErr w:type="gramStart"/>
      <w:r w:rsidRPr="001017F8">
        <w:rPr>
          <w:rFonts w:eastAsia="Calibri"/>
          <w:b/>
          <w:bCs/>
        </w:rPr>
        <w:t>and</w:t>
      </w:r>
      <w:proofErr w:type="gramEnd"/>
      <w:r w:rsidRPr="001017F8">
        <w:rPr>
          <w:rFonts w:eastAsia="Calibri"/>
          <w:b/>
          <w:bCs/>
        </w:rPr>
        <w:t xml:space="preserve"> 97 of the Commission’s Rules to Create a New </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Medium Frequency Allocation for the Amateur Radio</w:t>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Service</w:t>
      </w:r>
      <w:r w:rsidRPr="001017F8">
        <w:rPr>
          <w:rFonts w:eastAsia="Calibri"/>
          <w:b/>
          <w:bCs/>
        </w:rPr>
        <w:tab/>
      </w:r>
      <w:r w:rsidRPr="001017F8">
        <w:rPr>
          <w:rFonts w:eastAsia="Calibri"/>
          <w:b/>
          <w:bCs/>
        </w:rPr>
        <w:tab/>
        <w:t>)</w:t>
      </w:r>
    </w:p>
    <w:p w:rsidR="0008420B" w:rsidRPr="001017F8" w:rsidRDefault="0008420B" w:rsidP="0008420B">
      <w:pPr>
        <w:tabs>
          <w:tab w:val="left" w:pos="5490"/>
        </w:tabs>
        <w:spacing w:line="276" w:lineRule="auto"/>
        <w:rPr>
          <w:rFonts w:eastAsia="Calibri"/>
          <w:b/>
          <w:bCs/>
        </w:rPr>
      </w:pPr>
      <w:r w:rsidRPr="001017F8">
        <w:rPr>
          <w:rFonts w:eastAsia="Calibri"/>
          <w:b/>
          <w:bCs/>
        </w:rPr>
        <w:tab/>
      </w:r>
    </w:p>
    <w:p w:rsidR="0008420B" w:rsidRPr="001017F8" w:rsidRDefault="0008420B" w:rsidP="0008420B">
      <w:pPr>
        <w:spacing w:line="276" w:lineRule="auto"/>
        <w:rPr>
          <w:rFonts w:eastAsia="Calibri"/>
          <w:b/>
          <w:bCs/>
        </w:rPr>
      </w:pPr>
      <w:r w:rsidRPr="001017F8">
        <w:rPr>
          <w:rFonts w:eastAsia="Calibri"/>
          <w:b/>
          <w:bCs/>
        </w:rPr>
        <w:t>To: The Commission</w:t>
      </w:r>
    </w:p>
    <w:p w:rsidR="0008420B" w:rsidRPr="001017F8" w:rsidRDefault="0008420B" w:rsidP="0008420B">
      <w:pPr>
        <w:spacing w:line="276" w:lineRule="auto"/>
        <w:rPr>
          <w:rFonts w:eastAsia="Calibri"/>
          <w:b/>
          <w:bCs/>
        </w:rPr>
      </w:pPr>
    </w:p>
    <w:p w:rsidR="0008420B" w:rsidRPr="001017F8" w:rsidRDefault="0008420B" w:rsidP="0008420B">
      <w:pPr>
        <w:spacing w:line="276" w:lineRule="auto"/>
        <w:jc w:val="center"/>
        <w:rPr>
          <w:rFonts w:eastAsia="Calibri"/>
          <w:b/>
          <w:bCs/>
          <w:sz w:val="28"/>
          <w:szCs w:val="28"/>
        </w:rPr>
      </w:pPr>
      <w:r w:rsidRPr="0008420B">
        <w:rPr>
          <w:rFonts w:eastAsia="Calibri"/>
          <w:b/>
          <w:bCs/>
          <w:i/>
          <w:sz w:val="28"/>
          <w:szCs w:val="28"/>
        </w:rPr>
        <w:t>EX PARTE</w:t>
      </w:r>
      <w:r>
        <w:rPr>
          <w:rFonts w:eastAsia="Calibri"/>
          <w:b/>
          <w:bCs/>
          <w:sz w:val="28"/>
          <w:szCs w:val="28"/>
        </w:rPr>
        <w:t xml:space="preserve"> STATEMENT</w:t>
      </w:r>
      <w:r w:rsidRPr="001017F8">
        <w:rPr>
          <w:rFonts w:eastAsia="Calibri"/>
          <w:b/>
          <w:bCs/>
          <w:sz w:val="28"/>
          <w:szCs w:val="28"/>
        </w:rPr>
        <w:t xml:space="preserve"> OF ARRL, THE NATIONAL ASSOCIATION</w:t>
      </w:r>
    </w:p>
    <w:p w:rsidR="00D47A71" w:rsidRDefault="0008420B" w:rsidP="0008420B">
      <w:pPr>
        <w:jc w:val="center"/>
        <w:rPr>
          <w:rFonts w:eastAsia="Calibri"/>
          <w:b/>
          <w:bCs/>
          <w:sz w:val="28"/>
          <w:szCs w:val="28"/>
          <w:u w:val="single"/>
        </w:rPr>
      </w:pPr>
      <w:r w:rsidRPr="001017F8">
        <w:rPr>
          <w:rFonts w:eastAsia="Calibri"/>
          <w:b/>
          <w:bCs/>
          <w:sz w:val="28"/>
          <w:szCs w:val="28"/>
          <w:u w:val="single"/>
        </w:rPr>
        <w:t>FOR AMATEUR RADIO</w:t>
      </w:r>
    </w:p>
    <w:p w:rsidR="0008420B" w:rsidRDefault="0008420B" w:rsidP="0008420B"/>
    <w:p w:rsidR="0008420B" w:rsidRDefault="0008420B" w:rsidP="0008420B">
      <w:pPr>
        <w:spacing w:line="480" w:lineRule="auto"/>
        <w:rPr>
          <w:rFonts w:eastAsia="Calibri"/>
          <w:bCs/>
        </w:rPr>
      </w:pPr>
      <w:r>
        <w:rPr>
          <w:rFonts w:eastAsia="Calibri"/>
          <w:bCs/>
        </w:rPr>
        <w:tab/>
      </w:r>
      <w:r w:rsidRPr="0008420B">
        <w:rPr>
          <w:rFonts w:eastAsia="Calibri"/>
          <w:bCs/>
        </w:rPr>
        <w:t>ARRL, the national association for Amateur Radio, formally known as the American Radio Relay League, Incorporated (ARRL), by counsel</w:t>
      </w:r>
      <w:r>
        <w:rPr>
          <w:rFonts w:eastAsia="Calibri"/>
          <w:bCs/>
        </w:rPr>
        <w:t xml:space="preserve">, hereby respectfully submits a written </w:t>
      </w:r>
      <w:r>
        <w:rPr>
          <w:rFonts w:eastAsia="Calibri"/>
          <w:bCs/>
          <w:i/>
        </w:rPr>
        <w:t>ex parte</w:t>
      </w:r>
      <w:r>
        <w:rPr>
          <w:rFonts w:eastAsia="Calibri"/>
          <w:bCs/>
        </w:rPr>
        <w:t xml:space="preserve"> statement</w:t>
      </w:r>
      <w:r w:rsidRPr="0008420B">
        <w:rPr>
          <w:rFonts w:eastAsia="Calibri"/>
          <w:bCs/>
        </w:rPr>
        <w:t xml:space="preserve"> relative to the </w:t>
      </w:r>
      <w:r w:rsidRPr="0008420B">
        <w:rPr>
          <w:rFonts w:eastAsia="Calibri"/>
          <w:bCs/>
          <w:i/>
        </w:rPr>
        <w:t xml:space="preserve">Notice of Proposed Rule Making </w:t>
      </w:r>
      <w:r w:rsidRPr="0008420B">
        <w:rPr>
          <w:rFonts w:eastAsia="Calibri"/>
          <w:bCs/>
        </w:rPr>
        <w:t xml:space="preserve">portion of the </w:t>
      </w:r>
      <w:r w:rsidRPr="0008420B">
        <w:rPr>
          <w:rFonts w:eastAsia="Calibri"/>
          <w:bCs/>
          <w:i/>
        </w:rPr>
        <w:t>Report and Order, Order, and Notice of Proposed Rulemaking,</w:t>
      </w:r>
      <w:r w:rsidRPr="0008420B">
        <w:rPr>
          <w:rFonts w:eastAsia="Calibri"/>
          <w:bCs/>
        </w:rPr>
        <w:t xml:space="preserve"> FCC 15-50, 30 FCC Rcd. 41835, released April 27, 2015 (the </w:t>
      </w:r>
      <w:r w:rsidRPr="0008420B">
        <w:rPr>
          <w:rFonts w:eastAsia="Calibri"/>
          <w:bCs/>
          <w:i/>
        </w:rPr>
        <w:t>Notice</w:t>
      </w:r>
      <w:r w:rsidRPr="0008420B">
        <w:rPr>
          <w:rFonts w:eastAsia="Calibri"/>
          <w:bCs/>
        </w:rPr>
        <w:t>).</w:t>
      </w:r>
      <w:r>
        <w:rPr>
          <w:rFonts w:eastAsia="Calibri"/>
          <w:bCs/>
        </w:rPr>
        <w:t xml:space="preserve"> This statement is further to the comments and reply comments previously submitted in these proceedings by ARRL</w:t>
      </w:r>
      <w:r w:rsidR="00E96C0D">
        <w:rPr>
          <w:rFonts w:eastAsia="Calibri"/>
          <w:bCs/>
        </w:rPr>
        <w:t xml:space="preserve">, addressing </w:t>
      </w:r>
      <w:r>
        <w:rPr>
          <w:rFonts w:eastAsia="Calibri"/>
          <w:bCs/>
        </w:rPr>
        <w:t>the</w:t>
      </w:r>
      <w:r w:rsidR="00E96C0D">
        <w:rPr>
          <w:rFonts w:eastAsia="Calibri"/>
          <w:bCs/>
        </w:rPr>
        <w:t xml:space="preserve"> specific subject of </w:t>
      </w:r>
      <w:r>
        <w:rPr>
          <w:rFonts w:eastAsia="Calibri"/>
          <w:bCs/>
        </w:rPr>
        <w:t xml:space="preserve">notification </w:t>
      </w:r>
      <w:r>
        <w:rPr>
          <w:rFonts w:eastAsia="Calibri"/>
          <w:bCs/>
        </w:rPr>
        <w:lastRenderedPageBreak/>
        <w:t xml:space="preserve">procedures that </w:t>
      </w:r>
      <w:r w:rsidR="00E96C0D">
        <w:rPr>
          <w:rFonts w:eastAsia="Calibri"/>
          <w:bCs/>
        </w:rPr>
        <w:t>may be under consideration</w:t>
      </w:r>
      <w:r>
        <w:rPr>
          <w:rFonts w:eastAsia="Calibri"/>
          <w:bCs/>
        </w:rPr>
        <w:t xml:space="preserve"> for </w:t>
      </w:r>
      <w:r w:rsidRPr="0008420B">
        <w:rPr>
          <w:rFonts w:eastAsia="Calibri"/>
          <w:bCs/>
        </w:rPr>
        <w:t xml:space="preserve">the </w:t>
      </w:r>
      <w:r w:rsidR="00E96C0D">
        <w:rPr>
          <w:rFonts w:eastAsia="Calibri"/>
          <w:bCs/>
        </w:rPr>
        <w:t xml:space="preserve">new </w:t>
      </w:r>
      <w:r w:rsidRPr="0008420B">
        <w:rPr>
          <w:rFonts w:eastAsia="Calibri"/>
          <w:bCs/>
        </w:rPr>
        <w:t xml:space="preserve">Amateur Radio Service </w:t>
      </w:r>
      <w:r w:rsidR="001D63B8">
        <w:rPr>
          <w:rFonts w:eastAsia="Calibri"/>
          <w:bCs/>
        </w:rPr>
        <w:t xml:space="preserve">Low-Frequency (LF) and Medium-Frequency (MF) </w:t>
      </w:r>
      <w:r w:rsidRPr="0008420B">
        <w:rPr>
          <w:rFonts w:eastAsia="Calibri"/>
          <w:bCs/>
        </w:rPr>
        <w:t>domestic allocations</w:t>
      </w:r>
      <w:r w:rsidR="00A45A73" w:rsidRPr="00A45A73">
        <w:rPr>
          <w:rFonts w:eastAsia="Calibri"/>
          <w:bCs/>
          <w:vertAlign w:val="superscript"/>
        </w:rPr>
        <w:footnoteReference w:id="1"/>
      </w:r>
      <w:r w:rsidRPr="0008420B">
        <w:rPr>
          <w:rFonts w:eastAsia="Calibri"/>
          <w:bCs/>
        </w:rPr>
        <w:t xml:space="preserve"> and</w:t>
      </w:r>
      <w:r w:rsidR="00E96C0D">
        <w:rPr>
          <w:rFonts w:eastAsia="Calibri"/>
          <w:bCs/>
        </w:rPr>
        <w:t xml:space="preserve"> the</w:t>
      </w:r>
      <w:r w:rsidRPr="0008420B">
        <w:rPr>
          <w:rFonts w:eastAsia="Calibri"/>
          <w:bCs/>
        </w:rPr>
        <w:t xml:space="preserve"> service rules</w:t>
      </w:r>
      <w:r w:rsidR="00E96C0D">
        <w:rPr>
          <w:rFonts w:eastAsia="Calibri"/>
          <w:bCs/>
        </w:rPr>
        <w:t xml:space="preserve"> for th</w:t>
      </w:r>
      <w:r w:rsidR="00A45A73">
        <w:rPr>
          <w:rFonts w:eastAsia="Calibri"/>
          <w:bCs/>
        </w:rPr>
        <w:t>ose new B</w:t>
      </w:r>
      <w:r w:rsidR="00E96C0D">
        <w:rPr>
          <w:rFonts w:eastAsia="Calibri"/>
          <w:bCs/>
        </w:rPr>
        <w:t>ands</w:t>
      </w:r>
      <w:r w:rsidRPr="0008420B">
        <w:rPr>
          <w:rFonts w:eastAsia="Calibri"/>
          <w:bCs/>
        </w:rPr>
        <w:t xml:space="preserve"> addressed in the </w:t>
      </w:r>
      <w:r w:rsidRPr="0008420B">
        <w:rPr>
          <w:rFonts w:eastAsia="Calibri"/>
          <w:bCs/>
          <w:i/>
        </w:rPr>
        <w:t>Notice</w:t>
      </w:r>
      <w:r>
        <w:rPr>
          <w:rFonts w:eastAsia="Calibri"/>
          <w:bCs/>
          <w:i/>
        </w:rPr>
        <w:t xml:space="preserve">. </w:t>
      </w:r>
      <w:r>
        <w:rPr>
          <w:rFonts w:eastAsia="Calibri"/>
          <w:bCs/>
        </w:rPr>
        <w:t>ARRL states as follows:</w:t>
      </w:r>
    </w:p>
    <w:p w:rsidR="001D63B8" w:rsidRDefault="0008420B" w:rsidP="0008420B">
      <w:pPr>
        <w:spacing w:line="480" w:lineRule="auto"/>
        <w:rPr>
          <w:rFonts w:eastAsia="Calibri"/>
          <w:bCs/>
        </w:rPr>
      </w:pPr>
      <w:r>
        <w:rPr>
          <w:rFonts w:eastAsia="Calibri"/>
          <w:bCs/>
        </w:rPr>
        <w:tab/>
        <w:t xml:space="preserve">1. ARRL has been made aware that the Commission is soon to consider a </w:t>
      </w:r>
      <w:r w:rsidRPr="001D63B8">
        <w:rPr>
          <w:rFonts w:eastAsia="Calibri"/>
          <w:bCs/>
          <w:i/>
        </w:rPr>
        <w:t>Report and Order</w:t>
      </w:r>
      <w:r>
        <w:rPr>
          <w:rFonts w:eastAsia="Calibri"/>
          <w:bCs/>
        </w:rPr>
        <w:t xml:space="preserve"> in this proceeding that will </w:t>
      </w:r>
      <w:r w:rsidR="00A45A73">
        <w:rPr>
          <w:rFonts w:eastAsia="Calibri"/>
          <w:bCs/>
        </w:rPr>
        <w:t>specify</w:t>
      </w:r>
      <w:r>
        <w:rPr>
          <w:rFonts w:eastAsia="Calibri"/>
          <w:bCs/>
        </w:rPr>
        <w:t xml:space="preserve"> service rules applicable to the 2200-meter band</w:t>
      </w:r>
      <w:r w:rsidR="00A45A73">
        <w:rPr>
          <w:rFonts w:eastAsia="Calibri"/>
          <w:bCs/>
        </w:rPr>
        <w:t>,</w:t>
      </w:r>
      <w:r>
        <w:rPr>
          <w:rFonts w:eastAsia="Calibri"/>
          <w:bCs/>
        </w:rPr>
        <w:t xml:space="preserve"> and which may firm up the domestic allocation of the 630-meter band</w:t>
      </w:r>
      <w:r w:rsidR="001D63B8">
        <w:rPr>
          <w:rFonts w:eastAsia="Calibri"/>
          <w:bCs/>
        </w:rPr>
        <w:t xml:space="preserve"> to the Amateur Service</w:t>
      </w:r>
      <w:r>
        <w:rPr>
          <w:rFonts w:eastAsia="Calibri"/>
          <w:bCs/>
        </w:rPr>
        <w:t xml:space="preserve"> and adopt service rules governing that allocation</w:t>
      </w:r>
      <w:r w:rsidR="00A45A73">
        <w:rPr>
          <w:rFonts w:eastAsia="Calibri"/>
          <w:bCs/>
        </w:rPr>
        <w:t xml:space="preserve"> as well</w:t>
      </w:r>
      <w:r>
        <w:rPr>
          <w:rFonts w:eastAsia="Calibri"/>
          <w:bCs/>
        </w:rPr>
        <w:t>. Among the regulatory provisions under current consideration</w:t>
      </w:r>
      <w:r w:rsidR="001D63B8">
        <w:rPr>
          <w:rFonts w:eastAsia="Calibri"/>
          <w:bCs/>
        </w:rPr>
        <w:t xml:space="preserve"> for both bands</w:t>
      </w:r>
      <w:r>
        <w:rPr>
          <w:rFonts w:eastAsia="Calibri"/>
          <w:bCs/>
        </w:rPr>
        <w:t xml:space="preserve"> is a possible notification requirement</w:t>
      </w:r>
      <w:r w:rsidR="001D63B8">
        <w:rPr>
          <w:rFonts w:eastAsia="Calibri"/>
          <w:bCs/>
        </w:rPr>
        <w:t xml:space="preserve"> by</w:t>
      </w:r>
      <w:r w:rsidR="00A45A73">
        <w:rPr>
          <w:rFonts w:eastAsia="Calibri"/>
          <w:bCs/>
        </w:rPr>
        <w:t xml:space="preserve"> some</w:t>
      </w:r>
      <w:r w:rsidR="001D63B8">
        <w:rPr>
          <w:rFonts w:eastAsia="Calibri"/>
          <w:bCs/>
        </w:rPr>
        <w:t xml:space="preserve"> radio Amateurs to the utilities</w:t>
      </w:r>
      <w:r w:rsidR="00A45A73">
        <w:rPr>
          <w:rFonts w:eastAsia="Calibri"/>
          <w:bCs/>
        </w:rPr>
        <w:t xml:space="preserve"> which operate PLC systems,</w:t>
      </w:r>
      <w:r w:rsidR="001D63B8">
        <w:rPr>
          <w:rFonts w:eastAsia="Calibri"/>
          <w:bCs/>
        </w:rPr>
        <w:t xml:space="preserve"> prior to commencement</w:t>
      </w:r>
      <w:r w:rsidR="00A45A73">
        <w:rPr>
          <w:rFonts w:eastAsia="Calibri"/>
          <w:bCs/>
        </w:rPr>
        <w:t xml:space="preserve"> by the Amateur station</w:t>
      </w:r>
      <w:r w:rsidR="001D63B8">
        <w:rPr>
          <w:rFonts w:eastAsia="Calibri"/>
          <w:bCs/>
        </w:rPr>
        <w:t xml:space="preserve"> of operation</w:t>
      </w:r>
      <w:r w:rsidR="003E4EF1">
        <w:rPr>
          <w:rFonts w:eastAsia="Calibri"/>
          <w:bCs/>
        </w:rPr>
        <w:t xml:space="preserve"> in one or both of the</w:t>
      </w:r>
      <w:r w:rsidR="00A45A73">
        <w:rPr>
          <w:rFonts w:eastAsia="Calibri"/>
          <w:bCs/>
        </w:rPr>
        <w:t xml:space="preserve"> subject bands</w:t>
      </w:r>
      <w:r w:rsidR="001D63B8">
        <w:rPr>
          <w:rFonts w:eastAsia="Calibri"/>
          <w:bCs/>
        </w:rPr>
        <w:t>. ARRL does not object to such a notification requirement</w:t>
      </w:r>
      <w:r w:rsidR="00A45A73">
        <w:rPr>
          <w:rFonts w:eastAsia="Calibri"/>
          <w:bCs/>
        </w:rPr>
        <w:t>, provided that</w:t>
      </w:r>
      <w:r w:rsidR="001D63B8">
        <w:rPr>
          <w:rFonts w:eastAsia="Calibri"/>
          <w:bCs/>
        </w:rPr>
        <w:t xml:space="preserve"> it is appropriately circumscribed</w:t>
      </w:r>
      <w:r w:rsidR="00A45A73">
        <w:rPr>
          <w:rFonts w:eastAsia="Calibri"/>
          <w:bCs/>
        </w:rPr>
        <w:t>, not overbroad in its applicability,</w:t>
      </w:r>
      <w:r w:rsidR="001D63B8">
        <w:rPr>
          <w:rFonts w:eastAsia="Calibri"/>
          <w:bCs/>
        </w:rPr>
        <w:t xml:space="preserve"> and not overly burdensome for radio Amateurs to comply with.</w:t>
      </w:r>
    </w:p>
    <w:p w:rsidR="001D63B8" w:rsidRDefault="001D63B8" w:rsidP="001D63B8">
      <w:pPr>
        <w:spacing w:line="480" w:lineRule="auto"/>
        <w:rPr>
          <w:rFonts w:eastAsia="Times New Roman"/>
          <w:bCs/>
        </w:rPr>
      </w:pPr>
      <w:r>
        <w:rPr>
          <w:rFonts w:eastAsia="Calibri"/>
          <w:bCs/>
        </w:rPr>
        <w:tab/>
        <w:t xml:space="preserve">2. The </w:t>
      </w:r>
      <w:r w:rsidRPr="001D63B8">
        <w:rPr>
          <w:rFonts w:eastAsia="Times New Roman"/>
          <w:bCs/>
          <w:i/>
        </w:rPr>
        <w:t>Report and Order</w:t>
      </w:r>
      <w:r w:rsidRPr="001D63B8">
        <w:rPr>
          <w:rFonts w:eastAsia="Times New Roman"/>
          <w:bCs/>
        </w:rPr>
        <w:t xml:space="preserve"> </w:t>
      </w:r>
      <w:r>
        <w:rPr>
          <w:rFonts w:eastAsia="Times New Roman"/>
          <w:bCs/>
        </w:rPr>
        <w:t xml:space="preserve">released with the </w:t>
      </w:r>
      <w:r w:rsidRPr="001D63B8">
        <w:rPr>
          <w:rFonts w:eastAsia="Times New Roman"/>
          <w:bCs/>
          <w:i/>
        </w:rPr>
        <w:t>Notice</w:t>
      </w:r>
      <w:r>
        <w:rPr>
          <w:rFonts w:eastAsia="Times New Roman"/>
          <w:bCs/>
        </w:rPr>
        <w:t xml:space="preserve"> </w:t>
      </w:r>
      <w:r w:rsidRPr="001D63B8">
        <w:rPr>
          <w:rFonts w:eastAsia="Times New Roman"/>
          <w:bCs/>
        </w:rPr>
        <w:t>in this proceeding</w:t>
      </w:r>
      <w:r>
        <w:rPr>
          <w:rFonts w:eastAsia="Times New Roman"/>
          <w:bCs/>
        </w:rPr>
        <w:t xml:space="preserve"> added</w:t>
      </w:r>
      <w:r w:rsidRPr="001D63B8">
        <w:rPr>
          <w:rFonts w:eastAsia="Times New Roman"/>
          <w:bCs/>
        </w:rPr>
        <w:t xml:space="preserve"> a secondary allocation for the Amateur Service </w:t>
      </w:r>
      <w:r>
        <w:rPr>
          <w:rFonts w:eastAsia="Times New Roman"/>
          <w:bCs/>
        </w:rPr>
        <w:t>of</w:t>
      </w:r>
      <w:r w:rsidRPr="001D63B8">
        <w:rPr>
          <w:rFonts w:eastAsia="Times New Roman"/>
          <w:bCs/>
        </w:rPr>
        <w:t xml:space="preserve"> the 2200 meter band </w:t>
      </w:r>
      <w:r w:rsidR="00F471F5">
        <w:rPr>
          <w:rFonts w:eastAsia="Times New Roman"/>
          <w:bCs/>
        </w:rPr>
        <w:t>which limited</w:t>
      </w:r>
      <w:r w:rsidRPr="001D63B8">
        <w:rPr>
          <w:rFonts w:eastAsia="Times New Roman"/>
          <w:bCs/>
        </w:rPr>
        <w:t xml:space="preserve"> Amateur stations in the band to a max</w:t>
      </w:r>
      <w:r w:rsidR="00F471F5">
        <w:rPr>
          <w:rFonts w:eastAsia="Times New Roman"/>
          <w:bCs/>
        </w:rPr>
        <w:t>imum radiated power of 1 Watt EIRP. T</w:t>
      </w:r>
      <w:r w:rsidRPr="001D63B8">
        <w:rPr>
          <w:rFonts w:eastAsia="Times New Roman"/>
          <w:bCs/>
        </w:rPr>
        <w:t xml:space="preserve">he </w:t>
      </w:r>
      <w:r w:rsidRPr="001D63B8">
        <w:rPr>
          <w:rFonts w:eastAsia="Times New Roman"/>
          <w:bCs/>
          <w:i/>
        </w:rPr>
        <w:t>Notice</w:t>
      </w:r>
      <w:r w:rsidR="00F471F5">
        <w:rPr>
          <w:rFonts w:eastAsia="Times New Roman"/>
          <w:bCs/>
        </w:rPr>
        <w:t xml:space="preserve"> asked</w:t>
      </w:r>
      <w:r w:rsidRPr="001D63B8">
        <w:rPr>
          <w:rFonts w:eastAsia="Times New Roman"/>
          <w:bCs/>
        </w:rPr>
        <w:t xml:space="preserve"> for suggestions for Part 97 service rules</w:t>
      </w:r>
      <w:r w:rsidR="00F471F5">
        <w:rPr>
          <w:rFonts w:eastAsia="Times New Roman"/>
          <w:bCs/>
        </w:rPr>
        <w:t xml:space="preserve"> for that B</w:t>
      </w:r>
      <w:r w:rsidRPr="001D63B8">
        <w:rPr>
          <w:rFonts w:eastAsia="Times New Roman"/>
          <w:bCs/>
        </w:rPr>
        <w:t xml:space="preserve">and. The </w:t>
      </w:r>
      <w:r w:rsidRPr="001D63B8">
        <w:rPr>
          <w:rFonts w:eastAsia="Times New Roman"/>
          <w:bCs/>
          <w:i/>
        </w:rPr>
        <w:t>Notice</w:t>
      </w:r>
      <w:r w:rsidRPr="001D63B8">
        <w:rPr>
          <w:rFonts w:eastAsia="Times New Roman"/>
          <w:bCs/>
        </w:rPr>
        <w:t xml:space="preserve"> also propos</w:t>
      </w:r>
      <w:r w:rsidR="00F471F5">
        <w:rPr>
          <w:rFonts w:eastAsia="Times New Roman"/>
          <w:bCs/>
        </w:rPr>
        <w:t>ed</w:t>
      </w:r>
      <w:r w:rsidRPr="001D63B8">
        <w:rPr>
          <w:rFonts w:eastAsia="Times New Roman"/>
          <w:bCs/>
        </w:rPr>
        <w:t xml:space="preserve"> to allocate the 630 meter band to the Amateur Service on a secondary basis and with</w:t>
      </w:r>
      <w:r w:rsidR="00F471F5">
        <w:rPr>
          <w:rFonts w:eastAsia="Times New Roman"/>
          <w:bCs/>
        </w:rPr>
        <w:t xml:space="preserve"> that Part 2 allocation proposed</w:t>
      </w:r>
      <w:r w:rsidRPr="001D63B8">
        <w:rPr>
          <w:rFonts w:eastAsia="Times New Roman"/>
          <w:bCs/>
        </w:rPr>
        <w:t xml:space="preserve"> a footnote, RR 5.80A, which would limit U.S. amateur stations to a maximum power of 5 W</w:t>
      </w:r>
      <w:r w:rsidR="00F471F5">
        <w:rPr>
          <w:rFonts w:eastAsia="Times New Roman"/>
          <w:bCs/>
        </w:rPr>
        <w:t>atts</w:t>
      </w:r>
      <w:r w:rsidRPr="001D63B8">
        <w:rPr>
          <w:rFonts w:eastAsia="Times New Roman"/>
          <w:bCs/>
        </w:rPr>
        <w:t xml:space="preserve"> EIRP in that band. The </w:t>
      </w:r>
      <w:r w:rsidRPr="001D63B8">
        <w:rPr>
          <w:rFonts w:eastAsia="Times New Roman"/>
          <w:bCs/>
          <w:i/>
        </w:rPr>
        <w:t>Notice</w:t>
      </w:r>
      <w:r w:rsidRPr="001D63B8">
        <w:rPr>
          <w:rFonts w:eastAsia="Times New Roman"/>
          <w:bCs/>
        </w:rPr>
        <w:t xml:space="preserve"> also</w:t>
      </w:r>
      <w:r w:rsidR="00F471F5">
        <w:rPr>
          <w:rFonts w:eastAsia="Times New Roman"/>
          <w:bCs/>
        </w:rPr>
        <w:t xml:space="preserve"> asked</w:t>
      </w:r>
      <w:r w:rsidRPr="001D63B8">
        <w:rPr>
          <w:rFonts w:eastAsia="Times New Roman"/>
          <w:bCs/>
        </w:rPr>
        <w:t xml:space="preserve"> for comment on service rules for amateur stations that promote compatibility with</w:t>
      </w:r>
      <w:r w:rsidR="00F471F5">
        <w:rPr>
          <w:rFonts w:eastAsia="Times New Roman"/>
          <w:bCs/>
        </w:rPr>
        <w:t xml:space="preserve"> Power Line Carrier (</w:t>
      </w:r>
      <w:r w:rsidRPr="001D63B8">
        <w:rPr>
          <w:rFonts w:eastAsia="Times New Roman"/>
          <w:bCs/>
        </w:rPr>
        <w:t>PLC</w:t>
      </w:r>
      <w:r w:rsidR="003E4EF1">
        <w:rPr>
          <w:rFonts w:eastAsia="Times New Roman"/>
          <w:bCs/>
        </w:rPr>
        <w:t>) systems in both b</w:t>
      </w:r>
      <w:r w:rsidR="00F471F5">
        <w:rPr>
          <w:rFonts w:eastAsia="Times New Roman"/>
          <w:bCs/>
        </w:rPr>
        <w:t>and</w:t>
      </w:r>
      <w:r w:rsidR="00A45A73">
        <w:rPr>
          <w:rFonts w:eastAsia="Times New Roman"/>
          <w:bCs/>
        </w:rPr>
        <w:t>s, assuming those parameters</w:t>
      </w:r>
      <w:r w:rsidR="00F471F5">
        <w:rPr>
          <w:rFonts w:eastAsia="Times New Roman"/>
          <w:bCs/>
        </w:rPr>
        <w:t xml:space="preserve">. </w:t>
      </w:r>
    </w:p>
    <w:p w:rsidR="00F471F5" w:rsidRDefault="00F471F5" w:rsidP="00F471F5">
      <w:pPr>
        <w:spacing w:line="480" w:lineRule="auto"/>
        <w:rPr>
          <w:rFonts w:eastAsia="Times New Roman"/>
          <w:bCs/>
        </w:rPr>
      </w:pPr>
      <w:r>
        <w:rPr>
          <w:rFonts w:eastAsia="Times New Roman"/>
          <w:bCs/>
        </w:rPr>
        <w:tab/>
        <w:t>3. The comments of the</w:t>
      </w:r>
      <w:r w:rsidRPr="00F471F5">
        <w:rPr>
          <w:rFonts w:eastAsia="Calibri"/>
          <w:bCs/>
        </w:rPr>
        <w:t xml:space="preserve"> </w:t>
      </w:r>
      <w:r w:rsidRPr="00F471F5">
        <w:rPr>
          <w:rFonts w:eastAsia="Times New Roman"/>
          <w:bCs/>
        </w:rPr>
        <w:t>Utilities Telecom Council (UTC) filed on or about August 31, 2015</w:t>
      </w:r>
      <w:r>
        <w:rPr>
          <w:rFonts w:eastAsia="Times New Roman"/>
          <w:bCs/>
        </w:rPr>
        <w:t xml:space="preserve"> asked</w:t>
      </w:r>
      <w:r w:rsidRPr="00F471F5">
        <w:rPr>
          <w:rFonts w:eastAsia="Times New Roman"/>
          <w:bCs/>
        </w:rPr>
        <w:t xml:space="preserve"> that there be </w:t>
      </w:r>
      <w:r w:rsidR="00A45A73">
        <w:rPr>
          <w:rFonts w:eastAsia="Times New Roman"/>
          <w:bCs/>
        </w:rPr>
        <w:t>“quasi-</w:t>
      </w:r>
      <w:r w:rsidRPr="00F471F5">
        <w:rPr>
          <w:rFonts w:eastAsia="Times New Roman"/>
          <w:bCs/>
        </w:rPr>
        <w:t>coordination</w:t>
      </w:r>
      <w:r w:rsidR="00A45A73">
        <w:rPr>
          <w:rFonts w:eastAsia="Times New Roman"/>
          <w:bCs/>
        </w:rPr>
        <w:t>”</w:t>
      </w:r>
      <w:r w:rsidRPr="00F471F5">
        <w:rPr>
          <w:rFonts w:eastAsia="Times New Roman"/>
          <w:bCs/>
        </w:rPr>
        <w:t xml:space="preserve"> (apparently with UTC) required for Amateur </w:t>
      </w:r>
      <w:r w:rsidRPr="00F471F5">
        <w:rPr>
          <w:rFonts w:eastAsia="Times New Roman"/>
          <w:bCs/>
        </w:rPr>
        <w:lastRenderedPageBreak/>
        <w:t>station operation at 2200 meters prior to commencement of operation.</w:t>
      </w:r>
      <w:r w:rsidR="00A45A73">
        <w:rPr>
          <w:rStyle w:val="FootnoteReference"/>
          <w:rFonts w:eastAsia="Times New Roman"/>
          <w:bCs/>
        </w:rPr>
        <w:footnoteReference w:id="2"/>
      </w:r>
      <w:r>
        <w:rPr>
          <w:rFonts w:eastAsia="Times New Roman"/>
          <w:bCs/>
        </w:rPr>
        <w:t xml:space="preserve"> UTC claimed that it was</w:t>
      </w:r>
      <w:r w:rsidRPr="00F471F5">
        <w:rPr>
          <w:rFonts w:eastAsia="Times New Roman"/>
          <w:bCs/>
        </w:rPr>
        <w:t xml:space="preserve"> ready to work with the Commissio</w:t>
      </w:r>
      <w:r>
        <w:rPr>
          <w:rFonts w:eastAsia="Times New Roman"/>
          <w:bCs/>
        </w:rPr>
        <w:t>n</w:t>
      </w:r>
      <w:r w:rsidRPr="00F471F5">
        <w:rPr>
          <w:rFonts w:eastAsia="Times New Roman"/>
          <w:bCs/>
        </w:rPr>
        <w:t xml:space="preserve"> to “develop a process under which Amateur operations could notify utilities about proposed operation and work together to achieve the proper distance separation, power and antenna height based on parameters of Amateur operations and PLC systems.” </w:t>
      </w:r>
      <w:r w:rsidR="00D378F4">
        <w:rPr>
          <w:rFonts w:eastAsia="Times New Roman"/>
          <w:bCs/>
        </w:rPr>
        <w:t>UTC, however, made</w:t>
      </w:r>
      <w:r w:rsidR="003E4EF1">
        <w:rPr>
          <w:rFonts w:eastAsia="Times New Roman"/>
          <w:bCs/>
        </w:rPr>
        <w:t xml:space="preserve"> no proffer as to how</w:t>
      </w:r>
      <w:r w:rsidRPr="00F471F5">
        <w:rPr>
          <w:rFonts w:eastAsia="Times New Roman"/>
          <w:bCs/>
        </w:rPr>
        <w:t xml:space="preserve"> an Amateur station might know </w:t>
      </w:r>
      <w:r w:rsidR="00A45A73">
        <w:rPr>
          <w:rFonts w:eastAsia="Times New Roman"/>
          <w:bCs/>
        </w:rPr>
        <w:t xml:space="preserve">how the process might work. For example, it made no </w:t>
      </w:r>
      <w:r w:rsidR="003E4EF1">
        <w:rPr>
          <w:rFonts w:eastAsia="Times New Roman"/>
          <w:bCs/>
        </w:rPr>
        <w:t>suggestion of</w:t>
      </w:r>
      <w:r w:rsidR="00A45A73">
        <w:rPr>
          <w:rFonts w:eastAsia="Times New Roman"/>
          <w:bCs/>
        </w:rPr>
        <w:t xml:space="preserve"> a means to determine </w:t>
      </w:r>
      <w:r w:rsidRPr="00F471F5">
        <w:rPr>
          <w:rFonts w:eastAsia="Times New Roman"/>
          <w:bCs/>
        </w:rPr>
        <w:t>which transmission lines are carrying PLC</w:t>
      </w:r>
      <w:r w:rsidR="00A45A73">
        <w:rPr>
          <w:rFonts w:eastAsia="Times New Roman"/>
          <w:bCs/>
        </w:rPr>
        <w:t xml:space="preserve"> or</w:t>
      </w:r>
      <w:r w:rsidR="00D378F4">
        <w:rPr>
          <w:rFonts w:eastAsia="Times New Roman"/>
          <w:bCs/>
        </w:rPr>
        <w:t xml:space="preserve"> which</w:t>
      </w:r>
      <w:r w:rsidR="00A45A73">
        <w:rPr>
          <w:rFonts w:eastAsia="Times New Roman"/>
          <w:bCs/>
        </w:rPr>
        <w:t xml:space="preserve"> PLC-carrying transmission lines make use of</w:t>
      </w:r>
      <w:r w:rsidR="00D378F4">
        <w:rPr>
          <w:rFonts w:eastAsia="Times New Roman"/>
          <w:bCs/>
        </w:rPr>
        <w:t xml:space="preserve"> </w:t>
      </w:r>
      <w:r w:rsidR="00A45A73">
        <w:rPr>
          <w:rFonts w:eastAsia="Times New Roman"/>
          <w:bCs/>
        </w:rPr>
        <w:t>either</w:t>
      </w:r>
      <w:r w:rsidR="00D378F4">
        <w:rPr>
          <w:rFonts w:eastAsia="Times New Roman"/>
          <w:bCs/>
        </w:rPr>
        <w:t xml:space="preserve"> of the two</w:t>
      </w:r>
      <w:r w:rsidRPr="00F471F5">
        <w:rPr>
          <w:rFonts w:eastAsia="Times New Roman"/>
          <w:bCs/>
        </w:rPr>
        <w:t xml:space="preserve"> Amateur allocation</w:t>
      </w:r>
      <w:r w:rsidR="00D378F4">
        <w:rPr>
          <w:rFonts w:eastAsia="Times New Roman"/>
          <w:bCs/>
        </w:rPr>
        <w:t>s</w:t>
      </w:r>
      <w:r w:rsidR="00A45A73">
        <w:rPr>
          <w:rFonts w:eastAsia="Times New Roman"/>
          <w:bCs/>
        </w:rPr>
        <w:t xml:space="preserve">. Neither did UTC </w:t>
      </w:r>
      <w:r w:rsidRPr="00F471F5">
        <w:rPr>
          <w:rFonts w:eastAsia="Times New Roman"/>
          <w:bCs/>
        </w:rPr>
        <w:t>offer to provide that</w:t>
      </w:r>
      <w:r w:rsidR="00A45A73">
        <w:rPr>
          <w:rFonts w:eastAsia="Times New Roman"/>
          <w:bCs/>
        </w:rPr>
        <w:t xml:space="preserve"> database</w:t>
      </w:r>
      <w:r w:rsidRPr="00F471F5">
        <w:rPr>
          <w:rFonts w:eastAsia="Times New Roman"/>
          <w:bCs/>
        </w:rPr>
        <w:t xml:space="preserve"> information to ARRL or to Amateur radio operators generally</w:t>
      </w:r>
      <w:r w:rsidR="003E4EF1">
        <w:rPr>
          <w:rFonts w:eastAsia="Times New Roman"/>
          <w:bCs/>
        </w:rPr>
        <w:t xml:space="preserve"> to allow them to make that determination for </w:t>
      </w:r>
      <w:proofErr w:type="gramStart"/>
      <w:r w:rsidR="003E4EF1">
        <w:rPr>
          <w:rFonts w:eastAsia="Times New Roman"/>
          <w:bCs/>
        </w:rPr>
        <w:t>themselves</w:t>
      </w:r>
      <w:proofErr w:type="gramEnd"/>
      <w:r w:rsidRPr="00F471F5">
        <w:rPr>
          <w:rFonts w:eastAsia="Times New Roman"/>
          <w:bCs/>
        </w:rPr>
        <w:t>.</w:t>
      </w:r>
    </w:p>
    <w:p w:rsidR="005113F7" w:rsidRPr="005113F7" w:rsidRDefault="00D378F4" w:rsidP="005113F7">
      <w:pPr>
        <w:spacing w:line="480" w:lineRule="auto"/>
        <w:rPr>
          <w:rFonts w:eastAsia="Times New Roman"/>
          <w:bCs/>
          <w:iCs/>
        </w:rPr>
      </w:pPr>
      <w:r>
        <w:rPr>
          <w:rFonts w:eastAsia="Times New Roman"/>
          <w:bCs/>
        </w:rPr>
        <w:tab/>
        <w:t xml:space="preserve">4. ARRL is very much concerned that this vague </w:t>
      </w:r>
      <w:r w:rsidR="00A45A73">
        <w:rPr>
          <w:rFonts w:eastAsia="Times New Roman"/>
          <w:bCs/>
        </w:rPr>
        <w:t>reference</w:t>
      </w:r>
      <w:r>
        <w:rPr>
          <w:rFonts w:eastAsia="Times New Roman"/>
          <w:bCs/>
        </w:rPr>
        <w:t xml:space="preserve"> of U</w:t>
      </w:r>
      <w:r w:rsidR="00A45A73">
        <w:rPr>
          <w:rFonts w:eastAsia="Times New Roman"/>
          <w:bCs/>
        </w:rPr>
        <w:t>TC to</w:t>
      </w:r>
      <w:r w:rsidR="005113F7">
        <w:rPr>
          <w:rFonts w:eastAsia="Times New Roman"/>
          <w:bCs/>
        </w:rPr>
        <w:t xml:space="preserve"> a notification procedure might lead to the Commission’s adoption of an overbroad notification requirement for Amateur Radio operators who intend to operate in either of these bands. As ARRL noted in its Reply Comments in this proceeding, </w:t>
      </w:r>
      <w:r w:rsidR="00DA1B32">
        <w:rPr>
          <w:rFonts w:eastAsia="Times New Roman"/>
          <w:bCs/>
          <w:iCs/>
        </w:rPr>
        <w:t>i</w:t>
      </w:r>
      <w:r w:rsidR="005113F7" w:rsidRPr="005113F7">
        <w:rPr>
          <w:rFonts w:eastAsia="Times New Roman"/>
          <w:bCs/>
          <w:iCs/>
        </w:rPr>
        <w:t xml:space="preserve">t is well-established that PLCs operate as unlicensed devices and without allocation status. Footnote US2 currently reads as follows: </w:t>
      </w:r>
    </w:p>
    <w:p w:rsidR="005113F7" w:rsidRDefault="005113F7" w:rsidP="005113F7">
      <w:pPr>
        <w:ind w:left="576" w:right="576"/>
        <w:rPr>
          <w:rFonts w:eastAsia="Times New Roman"/>
          <w:bCs/>
          <w:iCs/>
        </w:rPr>
      </w:pPr>
      <w:r w:rsidRPr="005113F7">
        <w:rPr>
          <w:rFonts w:eastAsia="Times New Roman"/>
          <w:bCs/>
          <w:iCs/>
        </w:rPr>
        <w:t xml:space="preserve">In the band 9–490 kHz, electric utilities operate Power Line Carrier (PLC) systems on power transmission lines for communications important to the reliability and security of electric service to the public. These PLC systems operate under the provisions of 47 CFR part 15, or Chapter 8 of the </w:t>
      </w:r>
      <w:r w:rsidRPr="005113F7">
        <w:rPr>
          <w:rFonts w:eastAsia="Times New Roman"/>
          <w:bCs/>
          <w:i/>
          <w:iCs/>
        </w:rPr>
        <w:t xml:space="preserve">NTIA Manual, </w:t>
      </w:r>
      <w:r w:rsidRPr="005113F7">
        <w:rPr>
          <w:rFonts w:eastAsia="Times New Roman"/>
          <w:bCs/>
          <w:iCs/>
        </w:rPr>
        <w:t>on an unprotected and non-interference basis with respect to authorized radio users. Notification of intent to place new or revised radio frequency assignments or PLC frequency uses in the band 9–490 kHz is to be made in accordance with the Rules and Regulations of the FCC and NTIA, and users are urged to minimize potential interference to the extent practicable. This footnote does not provide any allocation status to PLC radio frequency uses.</w:t>
      </w:r>
    </w:p>
    <w:p w:rsidR="005113F7" w:rsidRPr="005113F7" w:rsidRDefault="005113F7" w:rsidP="005113F7">
      <w:pPr>
        <w:ind w:left="576" w:right="576"/>
        <w:rPr>
          <w:rFonts w:eastAsia="Times New Roman"/>
          <w:bCs/>
          <w:iCs/>
        </w:rPr>
      </w:pPr>
    </w:p>
    <w:p w:rsidR="005113F7" w:rsidRPr="005113F7" w:rsidRDefault="005113F7" w:rsidP="005113F7">
      <w:pPr>
        <w:spacing w:line="480" w:lineRule="auto"/>
        <w:rPr>
          <w:rFonts w:eastAsia="Times New Roman"/>
          <w:bCs/>
          <w:iCs/>
        </w:rPr>
      </w:pPr>
      <w:r w:rsidRPr="005113F7">
        <w:rPr>
          <w:rFonts w:eastAsia="Times New Roman"/>
          <w:bCs/>
          <w:iCs/>
        </w:rPr>
        <w:t>Footnote US2 is quite clear tha</w:t>
      </w:r>
      <w:r w:rsidR="00DA1B32">
        <w:rPr>
          <w:rFonts w:eastAsia="Times New Roman"/>
          <w:bCs/>
          <w:iCs/>
        </w:rPr>
        <w:t>t PLC systems operating in the band 9-490 kHz</w:t>
      </w:r>
      <w:r w:rsidRPr="005113F7">
        <w:rPr>
          <w:rFonts w:eastAsia="Times New Roman"/>
          <w:bCs/>
          <w:iCs/>
        </w:rPr>
        <w:t xml:space="preserve"> are unprotected as against any licensed service, and their regulatory status is and has been firmly established for </w:t>
      </w:r>
      <w:r w:rsidRPr="005113F7">
        <w:rPr>
          <w:rFonts w:eastAsia="Times New Roman"/>
          <w:bCs/>
          <w:iCs/>
        </w:rPr>
        <w:lastRenderedPageBreak/>
        <w:t>many years. The Commission has clearly stated its intention to not confer any allocation status on PLCs.</w:t>
      </w:r>
    </w:p>
    <w:p w:rsidR="00DA1B32" w:rsidRPr="00DA1B32" w:rsidRDefault="00DA1B32" w:rsidP="00DA1B32">
      <w:pPr>
        <w:spacing w:line="480" w:lineRule="auto"/>
        <w:rPr>
          <w:rFonts w:eastAsia="Times New Roman"/>
          <w:bCs/>
          <w:iCs/>
        </w:rPr>
      </w:pPr>
      <w:r>
        <w:rPr>
          <w:rFonts w:eastAsia="Times New Roman"/>
          <w:bCs/>
        </w:rPr>
        <w:tab/>
        <w:t xml:space="preserve">5. Nevertheless, ARRL has stated its willingness </w:t>
      </w:r>
      <w:r w:rsidRPr="00DA1B32">
        <w:rPr>
          <w:rFonts w:eastAsia="Times New Roman"/>
          <w:bCs/>
          <w:iCs/>
        </w:rPr>
        <w:t>to</w:t>
      </w:r>
      <w:r>
        <w:rPr>
          <w:rFonts w:eastAsia="Times New Roman"/>
          <w:bCs/>
          <w:iCs/>
        </w:rPr>
        <w:t xml:space="preserve"> accept: (1)</w:t>
      </w:r>
      <w:r w:rsidRPr="00DA1B32">
        <w:rPr>
          <w:rFonts w:eastAsia="Times New Roman"/>
          <w:bCs/>
          <w:iCs/>
        </w:rPr>
        <w:t xml:space="preserve"> distance separation criteria</w:t>
      </w:r>
      <w:r>
        <w:rPr>
          <w:rFonts w:eastAsia="Times New Roman"/>
          <w:bCs/>
          <w:iCs/>
        </w:rPr>
        <w:t xml:space="preserve"> between Amateur stations operating at 2200 or 630 meters and PLC-carrying transmission lines</w:t>
      </w:r>
      <w:r w:rsidR="00A45A73">
        <w:rPr>
          <w:rFonts w:eastAsia="Times New Roman"/>
          <w:bCs/>
          <w:iCs/>
        </w:rPr>
        <w:t xml:space="preserve"> making use of part or all of either band</w:t>
      </w:r>
      <w:r>
        <w:rPr>
          <w:rFonts w:eastAsia="Times New Roman"/>
          <w:bCs/>
          <w:iCs/>
        </w:rPr>
        <w:t xml:space="preserve"> </w:t>
      </w:r>
      <w:r w:rsidR="00A45A73">
        <w:rPr>
          <w:rFonts w:eastAsia="Times New Roman"/>
          <w:bCs/>
          <w:iCs/>
        </w:rPr>
        <w:t>(</w:t>
      </w:r>
      <w:r>
        <w:rPr>
          <w:rFonts w:eastAsia="Times New Roman"/>
          <w:bCs/>
          <w:iCs/>
        </w:rPr>
        <w:t>outside of which there is no interference potential and no</w:t>
      </w:r>
      <w:r w:rsidR="00041E28">
        <w:rPr>
          <w:rFonts w:eastAsia="Times New Roman"/>
          <w:bCs/>
          <w:iCs/>
        </w:rPr>
        <w:t xml:space="preserve"> justification for any</w:t>
      </w:r>
      <w:r>
        <w:rPr>
          <w:rFonts w:eastAsia="Times New Roman"/>
          <w:bCs/>
          <w:iCs/>
        </w:rPr>
        <w:t xml:space="preserve"> regulatory obligation on Amateur stations</w:t>
      </w:r>
      <w:r w:rsidR="00041E28">
        <w:rPr>
          <w:rFonts w:eastAsia="Times New Roman"/>
          <w:bCs/>
          <w:iCs/>
        </w:rPr>
        <w:t xml:space="preserve"> relative to PLCs</w:t>
      </w:r>
      <w:r w:rsidR="00A45A73">
        <w:rPr>
          <w:rFonts w:eastAsia="Times New Roman"/>
          <w:bCs/>
          <w:iCs/>
        </w:rPr>
        <w:t>)</w:t>
      </w:r>
      <w:r w:rsidR="00041E28">
        <w:rPr>
          <w:rFonts w:eastAsia="Times New Roman"/>
          <w:bCs/>
          <w:iCs/>
        </w:rPr>
        <w:t>;</w:t>
      </w:r>
      <w:r>
        <w:rPr>
          <w:rFonts w:eastAsia="Times New Roman"/>
          <w:bCs/>
          <w:iCs/>
        </w:rPr>
        <w:t xml:space="preserve"> and (2) </w:t>
      </w:r>
      <w:r w:rsidRPr="00DA1B32">
        <w:rPr>
          <w:rFonts w:eastAsia="Times New Roman"/>
          <w:bCs/>
          <w:iCs/>
        </w:rPr>
        <w:t>in those few instances in which an Amateur station may wish to operate in one of the two small subject bands within close proximity to a PLC-carrying transmission line</w:t>
      </w:r>
      <w:r w:rsidR="003E4EF1">
        <w:rPr>
          <w:rFonts w:eastAsia="Times New Roman"/>
          <w:bCs/>
          <w:iCs/>
        </w:rPr>
        <w:t xml:space="preserve"> which is</w:t>
      </w:r>
      <w:r w:rsidRPr="00DA1B32">
        <w:rPr>
          <w:rFonts w:eastAsia="Times New Roman"/>
          <w:bCs/>
          <w:iCs/>
        </w:rPr>
        <w:t xml:space="preserve"> using either of those subject bands, a notification process.</w:t>
      </w:r>
      <w:r>
        <w:rPr>
          <w:rFonts w:eastAsia="Times New Roman"/>
          <w:bCs/>
          <w:iCs/>
        </w:rPr>
        <w:t xml:space="preserve"> Accordingly, ARRL’s Reply Comments in this proceeding contained the following </w:t>
      </w:r>
      <w:r w:rsidRPr="00DA1B32">
        <w:rPr>
          <w:rFonts w:eastAsia="Times New Roman"/>
          <w:bCs/>
          <w:iCs/>
        </w:rPr>
        <w:t>plan for compatibility between Amateur stations and incumbent</w:t>
      </w:r>
      <w:r w:rsidRPr="00DA1B32">
        <w:rPr>
          <w:rFonts w:eastAsia="Times New Roman"/>
          <w:bCs/>
          <w:iCs/>
          <w:vertAlign w:val="superscript"/>
        </w:rPr>
        <w:footnoteReference w:id="3"/>
      </w:r>
      <w:r w:rsidRPr="00DA1B32">
        <w:rPr>
          <w:rFonts w:eastAsia="Times New Roman"/>
          <w:bCs/>
          <w:iCs/>
        </w:rPr>
        <w:t xml:space="preserve"> PLC systems using the 2200-meter or 630-meter bands:</w:t>
      </w:r>
    </w:p>
    <w:p w:rsidR="00DA1B32" w:rsidRPr="00DA1B32" w:rsidRDefault="00DA1B32" w:rsidP="00DA1B32">
      <w:pPr>
        <w:ind w:left="576" w:right="576"/>
        <w:rPr>
          <w:rFonts w:eastAsia="Times New Roman"/>
          <w:bCs/>
          <w:iCs/>
        </w:rPr>
      </w:pPr>
      <w:r w:rsidRPr="00DA1B32">
        <w:rPr>
          <w:rFonts w:eastAsia="Times New Roman"/>
          <w:bCs/>
          <w:iCs/>
        </w:rPr>
        <w:t xml:space="preserve">A. PLCs and Amateur stations do not in general operate in the same geographic areas. PLCs are restricted to operating only on </w:t>
      </w:r>
      <w:r w:rsidRPr="00DA1B32">
        <w:rPr>
          <w:rFonts w:eastAsia="Times New Roman"/>
          <w:bCs/>
          <w:i/>
          <w:iCs/>
        </w:rPr>
        <w:t>transmission</w:t>
      </w:r>
      <w:r w:rsidRPr="00DA1B32">
        <w:rPr>
          <w:rFonts w:eastAsia="Times New Roman"/>
          <w:bCs/>
          <w:iCs/>
        </w:rPr>
        <w:t xml:space="preserve"> lines [per 47 C.F.R. § 15.3(t)] and, as the </w:t>
      </w:r>
      <w:r w:rsidRPr="00DA1B32">
        <w:rPr>
          <w:rFonts w:eastAsia="Times New Roman"/>
          <w:bCs/>
          <w:i/>
          <w:iCs/>
        </w:rPr>
        <w:t>Notice</w:t>
      </w:r>
      <w:r w:rsidRPr="00DA1B32">
        <w:rPr>
          <w:rFonts w:eastAsia="Times New Roman"/>
          <w:bCs/>
          <w:iCs/>
        </w:rPr>
        <w:t xml:space="preserve"> states, “therefore, in general, do not operate in residential areas.” Because the Amateur Service is expected to use the 2200-meter and 630-meter bands principally for experimental purposes (and thus non-intensively) from the licensees</w:t>
      </w:r>
      <w:r>
        <w:rPr>
          <w:rFonts w:eastAsia="Times New Roman"/>
          <w:bCs/>
          <w:iCs/>
        </w:rPr>
        <w:t>’</w:t>
      </w:r>
      <w:r w:rsidRPr="00DA1B32">
        <w:rPr>
          <w:rFonts w:eastAsia="Times New Roman"/>
          <w:bCs/>
          <w:iCs/>
        </w:rPr>
        <w:t xml:space="preserve"> residences in most cases, there is an inherent geographic separation between the two uses.</w:t>
      </w:r>
    </w:p>
    <w:p w:rsidR="00DA1B32" w:rsidRPr="00DA1B32" w:rsidRDefault="00DA1B32" w:rsidP="00DA1B32">
      <w:pPr>
        <w:ind w:left="576" w:right="576"/>
        <w:rPr>
          <w:rFonts w:eastAsia="Times New Roman"/>
          <w:bCs/>
          <w:iCs/>
        </w:rPr>
      </w:pPr>
    </w:p>
    <w:p w:rsidR="00DA1B32" w:rsidRPr="00DA1B32" w:rsidRDefault="00DA1B32" w:rsidP="00DA1B32">
      <w:pPr>
        <w:ind w:left="576" w:right="576"/>
        <w:rPr>
          <w:rFonts w:eastAsia="Times New Roman"/>
          <w:bCs/>
          <w:iCs/>
        </w:rPr>
      </w:pPr>
      <w:r w:rsidRPr="00DA1B32">
        <w:rPr>
          <w:rFonts w:eastAsia="Times New Roman"/>
          <w:bCs/>
          <w:iCs/>
        </w:rPr>
        <w:t xml:space="preserve">B. There is no evidence anywhere in the record in this proceeding, or in Docket 12-338, or otherwise to ARRL’s knowledge that Amateur stations operating </w:t>
      </w:r>
      <w:r w:rsidRPr="00DA1B32">
        <w:rPr>
          <w:rFonts w:eastAsia="Times New Roman"/>
          <w:bCs/>
          <w:i/>
          <w:iCs/>
        </w:rPr>
        <w:t>further than 1 kilometer</w:t>
      </w:r>
      <w:r w:rsidRPr="00DA1B32">
        <w:rPr>
          <w:rFonts w:eastAsia="Times New Roman"/>
          <w:bCs/>
          <w:iCs/>
        </w:rPr>
        <w:t xml:space="preserve"> from PLC-carrying transmission lines have any co-channel interference potential whatsoever. The NTIA TR-85-181 Study</w:t>
      </w:r>
      <w:r w:rsidRPr="00DA1B32">
        <w:rPr>
          <w:rFonts w:eastAsia="Times New Roman"/>
          <w:bCs/>
          <w:iCs/>
          <w:vertAlign w:val="superscript"/>
        </w:rPr>
        <w:footnoteReference w:id="4"/>
      </w:r>
      <w:r w:rsidRPr="00DA1B32">
        <w:rPr>
          <w:rFonts w:eastAsia="Times New Roman"/>
          <w:bCs/>
          <w:iCs/>
        </w:rPr>
        <w:t xml:space="preserve"> evaluated the compatibility of PLC systems and relatively high-powered licensed transmitters operating in the same </w:t>
      </w:r>
      <w:r w:rsidRPr="00DA1B32">
        <w:rPr>
          <w:rFonts w:eastAsia="Times New Roman"/>
          <w:bCs/>
          <w:iCs/>
        </w:rPr>
        <w:lastRenderedPageBreak/>
        <w:t xml:space="preserve">frequency range as PLC systems.  This study indicates that the potential for interference to PLCs is </w:t>
      </w:r>
      <w:r w:rsidRPr="00DA1B32">
        <w:rPr>
          <w:rFonts w:eastAsia="Times New Roman"/>
          <w:bCs/>
          <w:iCs/>
          <w:u w:val="single"/>
        </w:rPr>
        <w:t>very</w:t>
      </w:r>
      <w:r w:rsidRPr="00DA1B32">
        <w:rPr>
          <w:rFonts w:eastAsia="Times New Roman"/>
          <w:bCs/>
          <w:iCs/>
        </w:rPr>
        <w:t xml:space="preserve"> low overall, and the only ar</w:t>
      </w:r>
      <w:r w:rsidR="004C43FF">
        <w:rPr>
          <w:rFonts w:eastAsia="Times New Roman"/>
          <w:bCs/>
          <w:iCs/>
        </w:rPr>
        <w:t>ea for any concern whatsoever are</w:t>
      </w:r>
      <w:r w:rsidRPr="00DA1B32">
        <w:rPr>
          <w:rFonts w:eastAsia="Times New Roman"/>
          <w:bCs/>
          <w:iCs/>
        </w:rPr>
        <w:t xml:space="preserve"> those Amateur stations that may be located closer than 1 km to an existing transmission line carrying PLC signals </w:t>
      </w:r>
      <w:r w:rsidRPr="00DA1B32">
        <w:rPr>
          <w:rFonts w:eastAsia="Times New Roman"/>
          <w:bCs/>
          <w:i/>
          <w:iCs/>
        </w:rPr>
        <w:t>in that frequency range</w:t>
      </w:r>
      <w:r w:rsidRPr="00DA1B32">
        <w:rPr>
          <w:rFonts w:eastAsia="Times New Roman"/>
          <w:bCs/>
          <w:iCs/>
        </w:rPr>
        <w:t>.</w:t>
      </w:r>
    </w:p>
    <w:p w:rsidR="00DA1B32" w:rsidRPr="00DA1B32" w:rsidRDefault="00DA1B32" w:rsidP="00DA1B32">
      <w:pPr>
        <w:ind w:left="576" w:right="576"/>
        <w:rPr>
          <w:rFonts w:eastAsia="Times New Roman"/>
          <w:bCs/>
          <w:iCs/>
        </w:rPr>
      </w:pPr>
    </w:p>
    <w:p w:rsidR="00DA1B32" w:rsidRPr="00DA1B32" w:rsidRDefault="00DA1B32" w:rsidP="00DA1B32">
      <w:pPr>
        <w:ind w:left="576" w:right="576"/>
        <w:rPr>
          <w:rFonts w:eastAsia="Times New Roman"/>
          <w:bCs/>
          <w:iCs/>
        </w:rPr>
      </w:pPr>
      <w:r w:rsidRPr="00DA1B32">
        <w:rPr>
          <w:rFonts w:eastAsia="Times New Roman"/>
          <w:bCs/>
          <w:iCs/>
        </w:rPr>
        <w:t>C. The likelihood of an Amateur station conducting operations in the 2200- or 630-meter bands from a fixed station located less than 1 kilometer from a PLC-carrying transmission line upstream from a distribution substation is exceptionally low.</w:t>
      </w:r>
      <w:r w:rsidRPr="00DA1B32">
        <w:rPr>
          <w:rFonts w:eastAsia="Times New Roman"/>
          <w:bCs/>
          <w:iCs/>
          <w:vertAlign w:val="superscript"/>
        </w:rPr>
        <w:footnoteReference w:id="5"/>
      </w:r>
      <w:r w:rsidRPr="00DA1B32">
        <w:rPr>
          <w:rFonts w:eastAsia="Times New Roman"/>
          <w:bCs/>
          <w:iCs/>
        </w:rPr>
        <w:t xml:space="preserve"> Many transmission power lines do not carry PLC at all. Most PLC systems do not use the very small Amateur allocations at 2200 or 630 meters. And finally, the experimental purpose of these bands for radio amateurs and the concomitant fact that all equipment and antennas must be constructed by the licensees themselves leads to the conclusion that Amateur use of the small frequency bands for the foreseeable future will be relatively low compared to other Amateur allocations.</w:t>
      </w:r>
    </w:p>
    <w:p w:rsidR="00DA1B32" w:rsidRPr="00DA1B32" w:rsidRDefault="00DA1B32" w:rsidP="00DA1B32">
      <w:pPr>
        <w:ind w:left="576" w:right="576"/>
        <w:rPr>
          <w:rFonts w:eastAsia="Times New Roman"/>
          <w:bCs/>
          <w:iCs/>
        </w:rPr>
      </w:pPr>
    </w:p>
    <w:p w:rsidR="00DA1B32" w:rsidRPr="00DA1B32" w:rsidRDefault="00DA1B32" w:rsidP="00DA1B32">
      <w:pPr>
        <w:ind w:left="576" w:right="576"/>
        <w:rPr>
          <w:rFonts w:eastAsia="Times New Roman"/>
          <w:bCs/>
          <w:iCs/>
        </w:rPr>
      </w:pPr>
      <w:r w:rsidRPr="00DA1B32">
        <w:rPr>
          <w:rFonts w:eastAsia="Times New Roman"/>
          <w:bCs/>
          <w:iCs/>
        </w:rPr>
        <w:t>D. Contributing to the level of compatibility is the fact that PLC systems are required by Commission rule to “adhere to industry approved standards designed to enhance the use of power line carrier systems."</w:t>
      </w:r>
      <w:r w:rsidRPr="00DA1B32">
        <w:rPr>
          <w:rFonts w:eastAsia="Times New Roman"/>
          <w:bCs/>
          <w:iCs/>
          <w:vertAlign w:val="superscript"/>
        </w:rPr>
        <w:footnoteReference w:id="6"/>
      </w:r>
      <w:r w:rsidRPr="00DA1B32">
        <w:rPr>
          <w:rFonts w:eastAsia="Times New Roman"/>
          <w:bCs/>
          <w:iCs/>
        </w:rPr>
        <w:t xml:space="preserve"> PLC systems are or can be frequency agile (either using software-defined radio equipment or by simply notching small segments of the 9-490 kHz band). PLC system design in compliance with the immunity standard IEEE-1613-2009 ensures no interaction between Amateur Stations and P</w:t>
      </w:r>
      <w:r w:rsidR="00041E28">
        <w:rPr>
          <w:rFonts w:eastAsia="Times New Roman"/>
          <w:bCs/>
          <w:iCs/>
        </w:rPr>
        <w:t>LC systems in this range, even i</w:t>
      </w:r>
      <w:r w:rsidRPr="00DA1B32">
        <w:rPr>
          <w:rFonts w:eastAsia="Times New Roman"/>
          <w:bCs/>
          <w:iCs/>
        </w:rPr>
        <w:t xml:space="preserve">f the latter were operated on a co-channel basis. PLC devices sold to utilities and placed within substations since 2002 have been subject to this standard.  </w:t>
      </w:r>
    </w:p>
    <w:p w:rsidR="00DA1B32" w:rsidRDefault="00DA1B32" w:rsidP="00DA1B32">
      <w:pPr>
        <w:spacing w:line="480" w:lineRule="auto"/>
        <w:rPr>
          <w:rFonts w:eastAsia="Times New Roman"/>
          <w:bCs/>
          <w:iCs/>
        </w:rPr>
      </w:pPr>
    </w:p>
    <w:p w:rsidR="00A56AD7" w:rsidRDefault="004C43FF" w:rsidP="004C43FF">
      <w:pPr>
        <w:spacing w:line="480" w:lineRule="auto"/>
        <w:rPr>
          <w:rFonts w:eastAsia="Times New Roman"/>
          <w:bCs/>
          <w:iCs/>
        </w:rPr>
      </w:pPr>
      <w:r>
        <w:rPr>
          <w:rFonts w:eastAsia="Times New Roman"/>
          <w:bCs/>
          <w:iCs/>
        </w:rPr>
        <w:t xml:space="preserve">Given the foregoing, any notification procedure should be applicable only in those </w:t>
      </w:r>
      <w:r w:rsidRPr="004C43FF">
        <w:rPr>
          <w:rFonts w:eastAsia="Times New Roman"/>
          <w:bCs/>
          <w:iCs/>
        </w:rPr>
        <w:t>exceptionally rare and few instances in which an Amateur 2200-meter or 630-meter station might plan to operate within a kilometer of a PLC-carrying transmission line which makes some use of either Amateur allocation</w:t>
      </w:r>
      <w:r>
        <w:rPr>
          <w:rFonts w:eastAsia="Times New Roman"/>
          <w:bCs/>
          <w:iCs/>
        </w:rPr>
        <w:t>. It would be an unreasonable regulatory burden to require</w:t>
      </w:r>
      <w:r w:rsidR="00A56AD7">
        <w:rPr>
          <w:rFonts w:eastAsia="Times New Roman"/>
          <w:bCs/>
          <w:iCs/>
        </w:rPr>
        <w:t xml:space="preserve"> more than this, and there is no record justification for a requirement that</w:t>
      </w:r>
      <w:r>
        <w:rPr>
          <w:rFonts w:eastAsia="Times New Roman"/>
          <w:bCs/>
          <w:iCs/>
        </w:rPr>
        <w:t xml:space="preserve"> all radio Amateurs</w:t>
      </w:r>
      <w:r w:rsidR="00A56AD7">
        <w:rPr>
          <w:rFonts w:eastAsia="Times New Roman"/>
          <w:bCs/>
          <w:iCs/>
        </w:rPr>
        <w:t xml:space="preserve"> who wish to operate in these bands to have to participate in a notification process. </w:t>
      </w:r>
    </w:p>
    <w:p w:rsidR="004C43FF" w:rsidRPr="004C43FF" w:rsidRDefault="00A56AD7" w:rsidP="004C43FF">
      <w:pPr>
        <w:spacing w:line="480" w:lineRule="auto"/>
        <w:rPr>
          <w:rFonts w:eastAsia="Times New Roman"/>
          <w:bCs/>
          <w:iCs/>
        </w:rPr>
      </w:pPr>
      <w:r>
        <w:rPr>
          <w:rFonts w:eastAsia="Times New Roman"/>
          <w:bCs/>
          <w:iCs/>
        </w:rPr>
        <w:lastRenderedPageBreak/>
        <w:tab/>
      </w:r>
      <w:r w:rsidR="00041E28">
        <w:rPr>
          <w:rFonts w:eastAsia="Times New Roman"/>
          <w:bCs/>
          <w:iCs/>
        </w:rPr>
        <w:t xml:space="preserve">6. </w:t>
      </w:r>
      <w:r w:rsidR="004C43FF" w:rsidRPr="004C43FF">
        <w:rPr>
          <w:rFonts w:eastAsia="Times New Roman"/>
          <w:bCs/>
          <w:iCs/>
        </w:rPr>
        <w:t>ARRL</w:t>
      </w:r>
      <w:r>
        <w:rPr>
          <w:rFonts w:eastAsia="Times New Roman"/>
          <w:bCs/>
          <w:iCs/>
        </w:rPr>
        <w:t>’s proposed plan for a circumscribed</w:t>
      </w:r>
      <w:r w:rsidR="004C43FF" w:rsidRPr="004C43FF">
        <w:rPr>
          <w:rFonts w:eastAsia="Times New Roman"/>
          <w:bCs/>
          <w:iCs/>
        </w:rPr>
        <w:t xml:space="preserve"> notification procedure is similar to the procedure envisioned by UTC in its comments</w:t>
      </w:r>
      <w:r>
        <w:rPr>
          <w:rFonts w:eastAsia="Times New Roman"/>
          <w:bCs/>
          <w:iCs/>
        </w:rPr>
        <w:t>, except that t</w:t>
      </w:r>
      <w:r w:rsidR="004C43FF" w:rsidRPr="004C43FF">
        <w:rPr>
          <w:rFonts w:eastAsia="Times New Roman"/>
          <w:bCs/>
          <w:iCs/>
        </w:rPr>
        <w:t>he recipient</w:t>
      </w:r>
      <w:r>
        <w:rPr>
          <w:rFonts w:eastAsia="Times New Roman"/>
          <w:bCs/>
          <w:iCs/>
        </w:rPr>
        <w:t>(</w:t>
      </w:r>
      <w:r w:rsidR="004C43FF" w:rsidRPr="004C43FF">
        <w:rPr>
          <w:rFonts w:eastAsia="Times New Roman"/>
          <w:bCs/>
          <w:iCs/>
        </w:rPr>
        <w:t>s</w:t>
      </w:r>
      <w:r>
        <w:rPr>
          <w:rFonts w:eastAsia="Times New Roman"/>
          <w:bCs/>
          <w:iCs/>
        </w:rPr>
        <w:t xml:space="preserve">) of any notification </w:t>
      </w:r>
      <w:r w:rsidR="004C43FF" w:rsidRPr="004C43FF">
        <w:rPr>
          <w:rFonts w:eastAsia="Times New Roman"/>
          <w:bCs/>
          <w:iCs/>
        </w:rPr>
        <w:t xml:space="preserve">must be limited to those utilities which are, as of the effective date of a </w:t>
      </w:r>
      <w:r w:rsidR="004C43FF" w:rsidRPr="00A56AD7">
        <w:rPr>
          <w:rFonts w:eastAsia="Times New Roman"/>
          <w:bCs/>
          <w:i/>
          <w:iCs/>
        </w:rPr>
        <w:t>Report and Order</w:t>
      </w:r>
      <w:r w:rsidR="004C43FF" w:rsidRPr="004C43FF">
        <w:rPr>
          <w:rFonts w:eastAsia="Times New Roman"/>
          <w:bCs/>
          <w:iCs/>
        </w:rPr>
        <w:t xml:space="preserve"> in this proceeding, actually operating PLC systems on transmission lines that pass nearer than one kilometer from the planned fixed or temporary fixed operating site of the Amateur station, on frequencies such that the occupied bandwidth of the PLC signal actually overlaps either the 2200-meter band or the 630-meter band. </w:t>
      </w:r>
      <w:r>
        <w:rPr>
          <w:rFonts w:eastAsia="Times New Roman"/>
          <w:bCs/>
          <w:iCs/>
        </w:rPr>
        <w:t>I</w:t>
      </w:r>
      <w:r w:rsidR="004C43FF" w:rsidRPr="004C43FF">
        <w:rPr>
          <w:rFonts w:eastAsia="Times New Roman"/>
          <w:bCs/>
          <w:iCs/>
        </w:rPr>
        <w:t xml:space="preserve">t is reasonable for the Amateur station to provide </w:t>
      </w:r>
      <w:r>
        <w:rPr>
          <w:rFonts w:eastAsia="Times New Roman"/>
          <w:bCs/>
          <w:iCs/>
        </w:rPr>
        <w:t xml:space="preserve">advance </w:t>
      </w:r>
      <w:r w:rsidR="004C43FF" w:rsidRPr="004C43FF">
        <w:rPr>
          <w:rFonts w:eastAsia="Times New Roman"/>
          <w:bCs/>
          <w:iCs/>
        </w:rPr>
        <w:t>notification</w:t>
      </w:r>
      <w:r w:rsidR="00041E28">
        <w:rPr>
          <w:rFonts w:eastAsia="Times New Roman"/>
          <w:bCs/>
          <w:iCs/>
        </w:rPr>
        <w:t xml:space="preserve"> to UTC</w:t>
      </w:r>
      <w:r w:rsidR="004C43FF" w:rsidRPr="004C43FF">
        <w:rPr>
          <w:rFonts w:eastAsia="Times New Roman"/>
          <w:bCs/>
          <w:iCs/>
        </w:rPr>
        <w:t xml:space="preserve"> of the intent to operate under those circumstances. It is completely unnecessary and unhelpful</w:t>
      </w:r>
      <w:r>
        <w:rPr>
          <w:rFonts w:eastAsia="Times New Roman"/>
          <w:bCs/>
          <w:iCs/>
        </w:rPr>
        <w:t xml:space="preserve"> on the other hand</w:t>
      </w:r>
      <w:r w:rsidR="004C43FF" w:rsidRPr="004C43FF">
        <w:rPr>
          <w:rFonts w:eastAsia="Times New Roman"/>
          <w:bCs/>
          <w:iCs/>
        </w:rPr>
        <w:t xml:space="preserve"> to impose a notification requirement on an Amateur licensee if the transmission line that the Amateur identifies as being nearer to the Amateur station than one kilometer either is (1) not carrying PLC at all, or (2) carrying PLC but</w:t>
      </w:r>
      <w:r w:rsidR="00041E28">
        <w:rPr>
          <w:rFonts w:eastAsia="Times New Roman"/>
          <w:bCs/>
          <w:iCs/>
        </w:rPr>
        <w:t xml:space="preserve"> is</w:t>
      </w:r>
      <w:r w:rsidR="004C43FF" w:rsidRPr="004C43FF">
        <w:rPr>
          <w:rFonts w:eastAsia="Times New Roman"/>
          <w:bCs/>
          <w:iCs/>
        </w:rPr>
        <w:t xml:space="preserve"> </w:t>
      </w:r>
      <w:r w:rsidR="00041E28">
        <w:rPr>
          <w:rFonts w:eastAsia="Times New Roman"/>
          <w:bCs/>
          <w:iCs/>
        </w:rPr>
        <w:t>making</w:t>
      </w:r>
      <w:r w:rsidR="004C43FF" w:rsidRPr="004C43FF">
        <w:rPr>
          <w:rFonts w:eastAsia="Times New Roman"/>
          <w:bCs/>
          <w:iCs/>
        </w:rPr>
        <w:t xml:space="preserve"> no use of </w:t>
      </w:r>
      <w:r w:rsidR="00041E28">
        <w:rPr>
          <w:rFonts w:eastAsia="Times New Roman"/>
          <w:bCs/>
          <w:iCs/>
        </w:rPr>
        <w:t xml:space="preserve">part or all of </w:t>
      </w:r>
      <w:r w:rsidR="004C43FF" w:rsidRPr="004C43FF">
        <w:rPr>
          <w:rFonts w:eastAsia="Times New Roman"/>
          <w:bCs/>
          <w:iCs/>
        </w:rPr>
        <w:t>either 135.7-137.8 kilohertz or 472-479 kilohertz.</w:t>
      </w:r>
      <w:r w:rsidR="00041E28">
        <w:rPr>
          <w:rFonts w:eastAsia="Times New Roman"/>
          <w:bCs/>
          <w:iCs/>
        </w:rPr>
        <w:t xml:space="preserve"> </w:t>
      </w:r>
      <w:r w:rsidR="004C43FF" w:rsidRPr="004C43FF">
        <w:rPr>
          <w:rFonts w:eastAsia="Times New Roman"/>
          <w:bCs/>
          <w:iCs/>
        </w:rPr>
        <w:t xml:space="preserve"> It is only where all three elements (less than 1 kilometer separation, transmission line carrying PLC, PLC use of 2200 or 630 meters) are present that there is any chance at all of any interaction.</w:t>
      </w:r>
      <w:r w:rsidR="004C43FF" w:rsidRPr="004C43FF">
        <w:rPr>
          <w:rFonts w:eastAsia="Times New Roman"/>
          <w:bCs/>
          <w:iCs/>
          <w:vertAlign w:val="superscript"/>
        </w:rPr>
        <w:footnoteReference w:id="7"/>
      </w:r>
      <w:r>
        <w:rPr>
          <w:rFonts w:eastAsia="Times New Roman"/>
          <w:bCs/>
          <w:iCs/>
        </w:rPr>
        <w:t xml:space="preserve"> </w:t>
      </w:r>
      <w:r w:rsidR="004C43FF" w:rsidRPr="004C43FF">
        <w:rPr>
          <w:rFonts w:eastAsia="Times New Roman"/>
          <w:bCs/>
          <w:iCs/>
        </w:rPr>
        <w:t xml:space="preserve"> UTC, because it has (or is supposed to have)</w:t>
      </w:r>
      <w:r w:rsidR="004C43FF" w:rsidRPr="004C43FF">
        <w:rPr>
          <w:rFonts w:eastAsia="Times New Roman"/>
          <w:bCs/>
          <w:iCs/>
          <w:vertAlign w:val="superscript"/>
        </w:rPr>
        <w:footnoteReference w:id="8"/>
      </w:r>
      <w:r w:rsidR="004C43FF" w:rsidRPr="004C43FF">
        <w:rPr>
          <w:rFonts w:eastAsia="Times New Roman"/>
          <w:bCs/>
          <w:iCs/>
        </w:rPr>
        <w:t xml:space="preserve"> information as to which transmission lines are now carrying PLC and on what frequencies, should make available to ARRL or to the general public a list of the transmission lines carrying PLC in these two frequency ranges. If that is done, the Commission </w:t>
      </w:r>
      <w:r w:rsidR="004C43FF" w:rsidRPr="004C43FF">
        <w:rPr>
          <w:rFonts w:eastAsia="Times New Roman"/>
          <w:bCs/>
          <w:iCs/>
        </w:rPr>
        <w:lastRenderedPageBreak/>
        <w:t>might reasonably require that an Amateur station notify the relevant utility if an Amateur station wishes to operate in either of the two bands within one kilometer of a PLC-carrying transmission line where either band is in use by that PLC system.</w:t>
      </w:r>
      <w:r w:rsidR="004C43FF" w:rsidRPr="004C43FF">
        <w:rPr>
          <w:rFonts w:eastAsia="Times New Roman"/>
          <w:bCs/>
          <w:iCs/>
        </w:rPr>
        <w:tab/>
        <w:t xml:space="preserve"> </w:t>
      </w:r>
    </w:p>
    <w:p w:rsidR="004C43FF" w:rsidRPr="004C43FF" w:rsidRDefault="004C43FF" w:rsidP="004C43FF">
      <w:pPr>
        <w:spacing w:line="480" w:lineRule="auto"/>
        <w:rPr>
          <w:rFonts w:eastAsia="Times New Roman"/>
          <w:bCs/>
          <w:iCs/>
        </w:rPr>
      </w:pPr>
      <w:r w:rsidRPr="004C43FF">
        <w:rPr>
          <w:rFonts w:eastAsia="Times New Roman"/>
          <w:bCs/>
          <w:iCs/>
        </w:rPr>
        <w:tab/>
      </w:r>
      <w:r w:rsidR="00041E28">
        <w:rPr>
          <w:rFonts w:eastAsia="Times New Roman"/>
          <w:bCs/>
          <w:iCs/>
        </w:rPr>
        <w:t>7</w:t>
      </w:r>
      <w:r w:rsidRPr="004C43FF">
        <w:rPr>
          <w:rFonts w:eastAsia="Times New Roman"/>
          <w:bCs/>
          <w:iCs/>
        </w:rPr>
        <w:t>. It is anomalous for the Commission to require notification of a licensed service’s operations to a representative of, or directly to users of unlicensed, unallocated low power RF devices, and especially unintentional radiators. However, it could be practical in this unique instance to implement a limited notification plan due to the exceptionally low likelihood of an Amateur Station experimenting with LF communications being located at distances of less than 1 kilometer from a power line carrying PLC</w:t>
      </w:r>
      <w:r w:rsidR="005A3AED">
        <w:rPr>
          <w:rFonts w:eastAsia="Times New Roman"/>
          <w:bCs/>
          <w:iCs/>
        </w:rPr>
        <w:t xml:space="preserve"> and using</w:t>
      </w:r>
      <w:r w:rsidRPr="004C43FF">
        <w:rPr>
          <w:rFonts w:eastAsia="Times New Roman"/>
          <w:bCs/>
          <w:iCs/>
        </w:rPr>
        <w:t xml:space="preserve"> these small frequency segments.</w:t>
      </w:r>
      <w:r w:rsidR="00770095">
        <w:rPr>
          <w:rFonts w:eastAsia="Times New Roman"/>
          <w:bCs/>
          <w:iCs/>
        </w:rPr>
        <w:t xml:space="preserve"> It is not difficult for an Amateur station to identify a transmission line (which might be carrying PLC) versus a distribution line (which will not be carrying PLC) due to the presence or absence of step-down transformers.</w:t>
      </w:r>
      <w:r w:rsidR="005A3AED">
        <w:rPr>
          <w:rFonts w:eastAsia="Times New Roman"/>
          <w:bCs/>
          <w:iCs/>
        </w:rPr>
        <w:t xml:space="preserve"> Amateur Radio operators are sophisticated users of the radio spectrum and are fully capable of making such determinations.</w:t>
      </w:r>
      <w:r w:rsidR="00770095">
        <w:rPr>
          <w:rFonts w:eastAsia="Times New Roman"/>
          <w:bCs/>
          <w:iCs/>
        </w:rPr>
        <w:t xml:space="preserve"> It is a simple matter to </w:t>
      </w:r>
      <w:r w:rsidR="005A3AED">
        <w:rPr>
          <w:rFonts w:eastAsia="Times New Roman"/>
          <w:bCs/>
          <w:iCs/>
        </w:rPr>
        <w:t xml:space="preserve">precisely </w:t>
      </w:r>
      <w:r w:rsidR="00770095">
        <w:rPr>
          <w:rFonts w:eastAsia="Times New Roman"/>
          <w:bCs/>
          <w:iCs/>
        </w:rPr>
        <w:t>determine the distance of an Amateur station from the nearest transmission line</w:t>
      </w:r>
      <w:r w:rsidR="005A3AED">
        <w:rPr>
          <w:rFonts w:eastAsia="Times New Roman"/>
          <w:bCs/>
          <w:iCs/>
        </w:rPr>
        <w:t xml:space="preserve"> using Google Maps or other online tools</w:t>
      </w:r>
      <w:r w:rsidR="00770095">
        <w:rPr>
          <w:rFonts w:eastAsia="Times New Roman"/>
          <w:bCs/>
          <w:iCs/>
        </w:rPr>
        <w:t>. ARRL would be pleased to provide educational material to assist Amateurs in making such determinations. Thereafter, ARRL would be pleased to assist the Amateurs in determining which</w:t>
      </w:r>
      <w:r w:rsidR="00476BA3">
        <w:rPr>
          <w:rFonts w:eastAsia="Times New Roman"/>
          <w:bCs/>
          <w:iCs/>
        </w:rPr>
        <w:t xml:space="preserve"> short-spaced transmission lines</w:t>
      </w:r>
      <w:r w:rsidR="005A3AED">
        <w:rPr>
          <w:rFonts w:eastAsia="Times New Roman"/>
          <w:bCs/>
          <w:iCs/>
        </w:rPr>
        <w:t xml:space="preserve"> (if any)</w:t>
      </w:r>
      <w:r w:rsidR="00476BA3">
        <w:rPr>
          <w:rFonts w:eastAsia="Times New Roman"/>
          <w:bCs/>
          <w:iCs/>
        </w:rPr>
        <w:t xml:space="preserve"> are carrying PLC on frequencies that include portions of either the 2200-meter or 630-meter band, provided that UTC make that information available to ARRL.  </w:t>
      </w:r>
      <w:r w:rsidR="00770095">
        <w:rPr>
          <w:rFonts w:eastAsia="Times New Roman"/>
          <w:bCs/>
          <w:iCs/>
        </w:rPr>
        <w:t xml:space="preserve">  </w:t>
      </w:r>
    </w:p>
    <w:p w:rsidR="004C43FF" w:rsidRDefault="004C43FF" w:rsidP="004C43FF">
      <w:pPr>
        <w:spacing w:line="480" w:lineRule="auto"/>
        <w:rPr>
          <w:rFonts w:eastAsia="Times New Roman"/>
          <w:bCs/>
          <w:iCs/>
        </w:rPr>
      </w:pPr>
      <w:r w:rsidRPr="004C43FF">
        <w:rPr>
          <w:rFonts w:eastAsia="Times New Roman"/>
          <w:bCs/>
          <w:iCs/>
        </w:rPr>
        <w:tab/>
      </w:r>
      <w:r w:rsidR="005A3AED">
        <w:rPr>
          <w:rFonts w:eastAsia="Times New Roman"/>
          <w:bCs/>
          <w:iCs/>
        </w:rPr>
        <w:t>8</w:t>
      </w:r>
      <w:r w:rsidR="00476BA3">
        <w:rPr>
          <w:rFonts w:eastAsia="Times New Roman"/>
          <w:bCs/>
          <w:iCs/>
        </w:rPr>
        <w:t>. Once a</w:t>
      </w:r>
      <w:r w:rsidRPr="004C43FF">
        <w:rPr>
          <w:rFonts w:eastAsia="Times New Roman"/>
          <w:bCs/>
          <w:iCs/>
        </w:rPr>
        <w:t xml:space="preserve"> notification</w:t>
      </w:r>
      <w:r w:rsidR="00476BA3">
        <w:rPr>
          <w:rFonts w:eastAsia="Times New Roman"/>
          <w:bCs/>
          <w:iCs/>
        </w:rPr>
        <w:t xml:space="preserve"> to UTC</w:t>
      </w:r>
      <w:r w:rsidRPr="004C43FF">
        <w:rPr>
          <w:rFonts w:eastAsia="Times New Roman"/>
          <w:bCs/>
          <w:iCs/>
        </w:rPr>
        <w:t xml:space="preserve"> is made, however, as ARRL noted in its comments, the burden should shift to the utility</w:t>
      </w:r>
      <w:r w:rsidR="00476BA3">
        <w:rPr>
          <w:rFonts w:eastAsia="Times New Roman"/>
          <w:bCs/>
          <w:iCs/>
        </w:rPr>
        <w:t xml:space="preserve"> to make a supported technical showing within a reasonable time (30 days would be more than sufficient) </w:t>
      </w:r>
      <w:r w:rsidR="005A3AED">
        <w:rPr>
          <w:rFonts w:eastAsia="Times New Roman"/>
          <w:bCs/>
          <w:iCs/>
        </w:rPr>
        <w:t xml:space="preserve">demonstrating quantitatively </w:t>
      </w:r>
      <w:r w:rsidRPr="004C43FF">
        <w:rPr>
          <w:rFonts w:eastAsia="Times New Roman"/>
          <w:bCs/>
          <w:iCs/>
        </w:rPr>
        <w:t xml:space="preserve">that there will be harmful interference to PLC operations that existed before the effective date of any </w:t>
      </w:r>
      <w:r w:rsidRPr="005A3AED">
        <w:rPr>
          <w:rFonts w:eastAsia="Times New Roman"/>
          <w:bCs/>
          <w:i/>
          <w:iCs/>
        </w:rPr>
        <w:t>Report and Order</w:t>
      </w:r>
      <w:r w:rsidRPr="004C43FF">
        <w:rPr>
          <w:rFonts w:eastAsia="Times New Roman"/>
          <w:bCs/>
          <w:iCs/>
        </w:rPr>
        <w:t xml:space="preserve"> in </w:t>
      </w:r>
      <w:r w:rsidRPr="004C43FF">
        <w:rPr>
          <w:rFonts w:eastAsia="Times New Roman"/>
          <w:bCs/>
          <w:iCs/>
        </w:rPr>
        <w:lastRenderedPageBreak/>
        <w:t>this proceeding from the operation of the properly operating Amateur station. The parties can resolve any interference co</w:t>
      </w:r>
      <w:r w:rsidR="005A3AED">
        <w:rPr>
          <w:rFonts w:eastAsia="Times New Roman"/>
          <w:bCs/>
          <w:iCs/>
        </w:rPr>
        <w:t>ncerns cooperatively thereafter without necessitating the expenditure of Commission resources.</w:t>
      </w:r>
    </w:p>
    <w:p w:rsidR="004C43FF" w:rsidRPr="00DA1B32" w:rsidRDefault="005A3AED" w:rsidP="00DA1B32">
      <w:pPr>
        <w:spacing w:line="480" w:lineRule="auto"/>
        <w:rPr>
          <w:rFonts w:eastAsia="Times New Roman"/>
          <w:bCs/>
          <w:iCs/>
        </w:rPr>
      </w:pPr>
      <w:r>
        <w:rPr>
          <w:rFonts w:eastAsia="Times New Roman"/>
          <w:bCs/>
          <w:iCs/>
        </w:rPr>
        <w:tab/>
        <w:t xml:space="preserve">9. </w:t>
      </w:r>
      <w:r w:rsidR="004C43FF">
        <w:rPr>
          <w:rFonts w:eastAsia="Times New Roman"/>
          <w:bCs/>
          <w:iCs/>
        </w:rPr>
        <w:t xml:space="preserve">ARRL urges that the foregoing plan be implemented. It would be clear regulatory overkill for the Commission to subject </w:t>
      </w:r>
      <w:r w:rsidR="004C43FF" w:rsidRPr="00476BA3">
        <w:rPr>
          <w:rFonts w:eastAsia="Times New Roman"/>
          <w:bCs/>
          <w:i/>
          <w:iCs/>
          <w:u w:val="single"/>
        </w:rPr>
        <w:t>all</w:t>
      </w:r>
      <w:r w:rsidR="004C43FF">
        <w:rPr>
          <w:rFonts w:eastAsia="Times New Roman"/>
          <w:bCs/>
          <w:iCs/>
        </w:rPr>
        <w:t xml:space="preserve"> Amateur Radio stations wishing to operate in either or both of these bands to </w:t>
      </w:r>
      <w:r>
        <w:rPr>
          <w:rFonts w:eastAsia="Times New Roman"/>
          <w:bCs/>
          <w:iCs/>
        </w:rPr>
        <w:t>the obligation to</w:t>
      </w:r>
      <w:r w:rsidR="004C43FF">
        <w:rPr>
          <w:rFonts w:eastAsia="Times New Roman"/>
          <w:bCs/>
          <w:iCs/>
        </w:rPr>
        <w:t xml:space="preserve"> provide notification to UTC </w:t>
      </w:r>
      <w:r>
        <w:rPr>
          <w:rFonts w:eastAsia="Times New Roman"/>
          <w:bCs/>
          <w:iCs/>
        </w:rPr>
        <w:t>before operating in either band</w:t>
      </w:r>
      <w:r w:rsidR="00476BA3">
        <w:rPr>
          <w:rFonts w:eastAsia="Times New Roman"/>
          <w:bCs/>
          <w:iCs/>
        </w:rPr>
        <w:t xml:space="preserve">; </w:t>
      </w:r>
      <w:r>
        <w:rPr>
          <w:rFonts w:eastAsia="Times New Roman"/>
          <w:bCs/>
          <w:iCs/>
        </w:rPr>
        <w:t>n</w:t>
      </w:r>
      <w:r w:rsidR="00476BA3">
        <w:rPr>
          <w:rFonts w:eastAsia="Times New Roman"/>
          <w:bCs/>
          <w:iCs/>
        </w:rPr>
        <w:t>or</w:t>
      </w:r>
      <w:r>
        <w:rPr>
          <w:rFonts w:eastAsia="Times New Roman"/>
          <w:bCs/>
          <w:iCs/>
        </w:rPr>
        <w:t xml:space="preserve"> would it be reasonable to call for such notification by</w:t>
      </w:r>
      <w:r w:rsidR="00476BA3">
        <w:rPr>
          <w:rFonts w:eastAsia="Times New Roman"/>
          <w:bCs/>
          <w:iCs/>
        </w:rPr>
        <w:t xml:space="preserve"> even those Amateur stations located within one kilometer of a transmission line. The chances that a particular transmission line (1) is carrying PLC, and (2) makes use of either of these small bands are </w:t>
      </w:r>
      <w:r w:rsidR="00974A53">
        <w:rPr>
          <w:rFonts w:eastAsia="Times New Roman"/>
          <w:bCs/>
          <w:iCs/>
        </w:rPr>
        <w:t>extremely</w:t>
      </w:r>
      <w:r w:rsidR="00476BA3">
        <w:rPr>
          <w:rFonts w:eastAsia="Times New Roman"/>
          <w:bCs/>
          <w:iCs/>
        </w:rPr>
        <w:t xml:space="preserve"> small.</w:t>
      </w:r>
      <w:r w:rsidR="00053BFC">
        <w:rPr>
          <w:rStyle w:val="FootnoteReference"/>
          <w:rFonts w:eastAsia="Times New Roman"/>
          <w:bCs/>
          <w:iCs/>
        </w:rPr>
        <w:footnoteReference w:id="9"/>
      </w:r>
      <w:r w:rsidR="00974A53">
        <w:rPr>
          <w:rFonts w:eastAsia="Times New Roman"/>
          <w:bCs/>
          <w:iCs/>
        </w:rPr>
        <w:t xml:space="preserve"> A blanket notification requirement </w:t>
      </w:r>
      <w:r w:rsidR="00053BFC">
        <w:rPr>
          <w:rFonts w:eastAsia="Times New Roman"/>
          <w:bCs/>
          <w:iCs/>
        </w:rPr>
        <w:t xml:space="preserve">applicable to all radio Amateurs </w:t>
      </w:r>
      <w:r w:rsidR="00974A53">
        <w:rPr>
          <w:rFonts w:eastAsia="Times New Roman"/>
          <w:bCs/>
          <w:iCs/>
        </w:rPr>
        <w:t xml:space="preserve">creates the potential for arbitrary objections by a utility or by UTC and it is completely unnecessary in all but a very small number of cases. </w:t>
      </w:r>
      <w:r w:rsidR="00476BA3">
        <w:rPr>
          <w:rFonts w:eastAsia="Times New Roman"/>
          <w:bCs/>
          <w:iCs/>
        </w:rPr>
        <w:t xml:space="preserve">   </w:t>
      </w:r>
      <w:r w:rsidR="004C43FF">
        <w:rPr>
          <w:rFonts w:eastAsia="Times New Roman"/>
          <w:bCs/>
          <w:iCs/>
        </w:rPr>
        <w:t xml:space="preserve"> </w:t>
      </w:r>
    </w:p>
    <w:p w:rsidR="0020286B" w:rsidRDefault="0020286B" w:rsidP="0020286B">
      <w:pPr>
        <w:spacing w:line="480" w:lineRule="auto"/>
      </w:pPr>
      <w:r>
        <w:tab/>
        <w:t xml:space="preserve">Given the foregoing, ARRL again urges that the Commission proceed with the allocation for the 630-meter band as proposed in the Notice; it urges the Commission to reject UTC’s inchoate proposal to “elevate” the status of PLC’s in the 9-490 kilohertz band; and the Commission should implement a notification procedure for those Amateur stations which are to be located within one kilometer of a transmission line carrying PLC and where the PLC system </w:t>
      </w:r>
      <w:r>
        <w:lastRenderedPageBreak/>
        <w:t xml:space="preserve">is operating on frequencies which are within or which overlap the Amateur 2200-meter or 630-meter bands. In order to implement this, UTC should be called upon to provide to ARRL or to the general public a list of transmission lines carrying PLC which make use of either of the two subject bands, thus to facilitate notification. This would have the double benefit of encouraging a complete PLC database while permitting accurate determinations of which transmission lines are carrying PLC which have any potential at all of adverse interaction with Amateur stations. </w:t>
      </w:r>
    </w:p>
    <w:p w:rsidR="0020286B" w:rsidRPr="005F188D" w:rsidRDefault="0020286B" w:rsidP="0020286B">
      <w:pPr>
        <w:spacing w:line="480" w:lineRule="auto"/>
        <w:ind w:right="-360"/>
        <w:rPr>
          <w:rFonts w:eastAsia="Times New Roman"/>
          <w:bCs/>
        </w:rPr>
      </w:pPr>
      <w:r>
        <w:tab/>
        <w:t>Therefore, the foregoing and ARRL’s prior comments and reply comments in this proceeding considered, ARRL, the national association for Amateur Radio</w:t>
      </w:r>
      <w:r w:rsidRPr="005F188D">
        <w:rPr>
          <w:rFonts w:eastAsia="Times New Roman"/>
          <w:bCs/>
        </w:rPr>
        <w:t xml:space="preserve"> requests that the Commission timely issue a Report and Order making the LF and MF allocation changes in Part 2 and the Part</w:t>
      </w:r>
      <w:r w:rsidR="005A3AED">
        <w:rPr>
          <w:rFonts w:eastAsia="Times New Roman"/>
          <w:bCs/>
        </w:rPr>
        <w:t xml:space="preserve"> 97 service rule changes </w:t>
      </w:r>
      <w:r w:rsidRPr="005F188D">
        <w:rPr>
          <w:rFonts w:eastAsia="Times New Roman"/>
          <w:bCs/>
        </w:rPr>
        <w:t xml:space="preserve">as </w:t>
      </w:r>
      <w:r>
        <w:rPr>
          <w:rFonts w:eastAsia="Times New Roman"/>
          <w:bCs/>
        </w:rPr>
        <w:t>proposed by ARRL and not otherwise</w:t>
      </w:r>
      <w:r w:rsidRPr="005F188D">
        <w:rPr>
          <w:rFonts w:eastAsia="Times New Roman"/>
          <w:bCs/>
        </w:rPr>
        <w:t>.</w:t>
      </w:r>
    </w:p>
    <w:p w:rsidR="0020286B" w:rsidRPr="005F188D" w:rsidRDefault="0020286B" w:rsidP="0020286B">
      <w:pPr>
        <w:ind w:left="3600" w:right="-360"/>
        <w:rPr>
          <w:rFonts w:eastAsia="Times New Roman"/>
          <w:bCs/>
        </w:rPr>
      </w:pPr>
      <w:r w:rsidRPr="005F188D">
        <w:rPr>
          <w:rFonts w:eastAsia="Times New Roman"/>
          <w:bCs/>
        </w:rPr>
        <w:t>Respectfully submitted,</w:t>
      </w:r>
    </w:p>
    <w:p w:rsidR="0020286B" w:rsidRPr="005F188D" w:rsidRDefault="0020286B" w:rsidP="0020286B">
      <w:pPr>
        <w:ind w:left="3600" w:right="-360"/>
        <w:rPr>
          <w:rFonts w:eastAsia="Times New Roman"/>
          <w:bCs/>
        </w:rPr>
      </w:pPr>
    </w:p>
    <w:p w:rsidR="0020286B" w:rsidRPr="005F188D" w:rsidRDefault="0020286B" w:rsidP="0020286B">
      <w:pPr>
        <w:ind w:left="3600" w:right="-360"/>
        <w:rPr>
          <w:rFonts w:eastAsia="Times New Roman"/>
          <w:b/>
          <w:bCs/>
        </w:rPr>
      </w:pPr>
      <w:r w:rsidRPr="005F188D">
        <w:rPr>
          <w:rFonts w:eastAsia="Times New Roman"/>
          <w:b/>
          <w:bCs/>
        </w:rPr>
        <w:t>ARRL, THE NATIONAL ASSOCIATION FOR AMATEUR RADIO</w:t>
      </w:r>
    </w:p>
    <w:p w:rsidR="0020286B" w:rsidRPr="005F188D" w:rsidRDefault="0020286B" w:rsidP="0020286B">
      <w:pPr>
        <w:ind w:right="-360"/>
        <w:rPr>
          <w:rFonts w:eastAsia="Times New Roman"/>
          <w:bCs/>
        </w:rPr>
      </w:pPr>
    </w:p>
    <w:p w:rsidR="0020286B" w:rsidRPr="005F188D" w:rsidRDefault="0020286B" w:rsidP="0020286B">
      <w:pPr>
        <w:ind w:right="-360"/>
        <w:rPr>
          <w:rFonts w:eastAsia="Times New Roman"/>
          <w:bCs/>
        </w:rPr>
      </w:pPr>
      <w:r w:rsidRPr="005F188D">
        <w:rPr>
          <w:rFonts w:eastAsia="Times New Roman"/>
          <w:bCs/>
        </w:rPr>
        <w:t>225 Main Street</w:t>
      </w:r>
    </w:p>
    <w:p w:rsidR="0020286B" w:rsidRPr="005F188D" w:rsidRDefault="0020286B" w:rsidP="0020286B">
      <w:pPr>
        <w:ind w:right="-360"/>
        <w:rPr>
          <w:rFonts w:eastAsia="Times New Roman"/>
          <w:bCs/>
        </w:rPr>
      </w:pPr>
      <w:r w:rsidRPr="005F188D">
        <w:rPr>
          <w:rFonts w:eastAsia="Times New Roman"/>
          <w:bCs/>
        </w:rPr>
        <w:t>Newington, CT  06111-1494</w:t>
      </w:r>
    </w:p>
    <w:p w:rsidR="0020286B" w:rsidRPr="005F188D" w:rsidRDefault="0020286B" w:rsidP="0020286B">
      <w:pPr>
        <w:ind w:right="-360"/>
        <w:rPr>
          <w:rFonts w:eastAsia="Times New Roman"/>
          <w:bCs/>
        </w:rPr>
      </w:pPr>
    </w:p>
    <w:p w:rsidR="0020286B" w:rsidRPr="005F188D" w:rsidRDefault="0020286B" w:rsidP="0020286B">
      <w:pPr>
        <w:ind w:left="3600" w:right="-360"/>
        <w:rPr>
          <w:rFonts w:eastAsia="Times New Roman"/>
          <w:bCs/>
        </w:rPr>
      </w:pPr>
      <w:proofErr w:type="spellStart"/>
      <w:r w:rsidRPr="005F188D">
        <w:rPr>
          <w:rFonts w:eastAsia="Times New Roman"/>
          <w:bCs/>
        </w:rPr>
        <w:t>By</w:t>
      </w:r>
      <w:proofErr w:type="gramStart"/>
      <w:r w:rsidRPr="005F188D">
        <w:rPr>
          <w:rFonts w:eastAsia="Times New Roman"/>
          <w:bCs/>
        </w:rPr>
        <w:t>:_</w:t>
      </w:r>
      <w:proofErr w:type="gramEnd"/>
      <w:r w:rsidRPr="005F188D">
        <w:rPr>
          <w:rFonts w:eastAsia="Times New Roman"/>
          <w:bCs/>
        </w:rPr>
        <w:t>___</w:t>
      </w:r>
      <w:r w:rsidRPr="005F188D">
        <w:rPr>
          <w:rFonts w:ascii="Brush Script MT" w:eastAsia="Times New Roman" w:hAnsi="Brush Script MT"/>
          <w:bCs/>
          <w:sz w:val="36"/>
          <w:szCs w:val="36"/>
          <w:u w:val="single"/>
        </w:rPr>
        <w:t>Christopher</w:t>
      </w:r>
      <w:proofErr w:type="spellEnd"/>
      <w:r w:rsidRPr="005F188D">
        <w:rPr>
          <w:rFonts w:ascii="Brush Script MT" w:eastAsia="Times New Roman" w:hAnsi="Brush Script MT"/>
          <w:bCs/>
          <w:sz w:val="36"/>
          <w:szCs w:val="36"/>
          <w:u w:val="single"/>
        </w:rPr>
        <w:t xml:space="preserve"> D. Imlay</w:t>
      </w:r>
      <w:r w:rsidRPr="005F188D">
        <w:rPr>
          <w:rFonts w:eastAsia="Times New Roman"/>
          <w:bCs/>
        </w:rPr>
        <w:t>________________</w:t>
      </w:r>
    </w:p>
    <w:p w:rsidR="0020286B" w:rsidRPr="005F188D" w:rsidRDefault="0020286B" w:rsidP="0020286B">
      <w:pPr>
        <w:ind w:left="3600" w:right="-360"/>
        <w:rPr>
          <w:rFonts w:eastAsia="Times New Roman"/>
          <w:bCs/>
        </w:rPr>
      </w:pPr>
      <w:r w:rsidRPr="005F188D">
        <w:rPr>
          <w:rFonts w:eastAsia="Times New Roman"/>
          <w:bCs/>
        </w:rPr>
        <w:tab/>
        <w:t>Christopher D. Imlay</w:t>
      </w:r>
    </w:p>
    <w:p w:rsidR="0020286B" w:rsidRDefault="0020286B" w:rsidP="0020286B">
      <w:pPr>
        <w:ind w:left="3600" w:right="-360"/>
        <w:rPr>
          <w:rFonts w:eastAsia="Times New Roman"/>
          <w:bCs/>
        </w:rPr>
      </w:pPr>
      <w:r w:rsidRPr="005F188D">
        <w:rPr>
          <w:rFonts w:eastAsia="Times New Roman"/>
          <w:bCs/>
        </w:rPr>
        <w:tab/>
      </w:r>
      <w:proofErr w:type="gramStart"/>
      <w:r w:rsidRPr="005F188D">
        <w:rPr>
          <w:rFonts w:eastAsia="Times New Roman"/>
          <w:bCs/>
        </w:rPr>
        <w:t>Its</w:t>
      </w:r>
      <w:proofErr w:type="gramEnd"/>
      <w:r w:rsidRPr="005F188D">
        <w:rPr>
          <w:rFonts w:eastAsia="Times New Roman"/>
          <w:bCs/>
        </w:rPr>
        <w:t xml:space="preserve"> General Counsel</w:t>
      </w:r>
    </w:p>
    <w:p w:rsidR="0020286B" w:rsidRPr="005F188D" w:rsidRDefault="0020286B" w:rsidP="0020286B">
      <w:pPr>
        <w:ind w:left="3600" w:right="-360"/>
        <w:rPr>
          <w:rFonts w:eastAsia="Times New Roman"/>
          <w:bCs/>
        </w:rPr>
      </w:pPr>
    </w:p>
    <w:p w:rsidR="0020286B" w:rsidRPr="005F188D" w:rsidRDefault="0020286B" w:rsidP="0020286B">
      <w:pPr>
        <w:ind w:left="-180" w:right="-360"/>
        <w:rPr>
          <w:rFonts w:eastAsia="Times New Roman"/>
          <w:bCs/>
        </w:rPr>
      </w:pPr>
      <w:r w:rsidRPr="005F188D">
        <w:rPr>
          <w:rFonts w:eastAsia="Times New Roman"/>
          <w:bCs/>
        </w:rPr>
        <w:t xml:space="preserve">  </w:t>
      </w:r>
      <w:r w:rsidRPr="005F188D">
        <w:rPr>
          <w:rFonts w:eastAsia="Times New Roman"/>
          <w:bCs/>
        </w:rPr>
        <w:tab/>
        <w:t>BOOTH, FRERET&amp; IMLAY, LLC</w:t>
      </w:r>
    </w:p>
    <w:p w:rsidR="0020286B" w:rsidRPr="005F188D" w:rsidRDefault="0020286B" w:rsidP="0020286B">
      <w:pPr>
        <w:ind w:right="-360"/>
        <w:rPr>
          <w:rFonts w:eastAsia="Times New Roman"/>
          <w:bCs/>
        </w:rPr>
      </w:pPr>
      <w:r w:rsidRPr="005F188D">
        <w:rPr>
          <w:rFonts w:eastAsia="Times New Roman"/>
          <w:bCs/>
        </w:rPr>
        <w:t>14356 Cape May Road</w:t>
      </w:r>
    </w:p>
    <w:p w:rsidR="0020286B" w:rsidRPr="005F188D" w:rsidRDefault="0020286B" w:rsidP="0020286B">
      <w:pPr>
        <w:ind w:right="-360"/>
        <w:rPr>
          <w:rFonts w:eastAsia="Times New Roman"/>
          <w:bCs/>
        </w:rPr>
      </w:pPr>
      <w:r w:rsidRPr="005F188D">
        <w:rPr>
          <w:rFonts w:eastAsia="Times New Roman"/>
          <w:bCs/>
        </w:rPr>
        <w:t>Silver Spring, MD 20904-6011</w:t>
      </w:r>
    </w:p>
    <w:p w:rsidR="0020286B" w:rsidRDefault="0020286B" w:rsidP="0020286B">
      <w:pPr>
        <w:ind w:right="-360"/>
        <w:rPr>
          <w:rFonts w:eastAsia="Times New Roman"/>
          <w:bCs/>
        </w:rPr>
      </w:pPr>
      <w:r w:rsidRPr="005F188D">
        <w:rPr>
          <w:rFonts w:eastAsia="Times New Roman"/>
          <w:bCs/>
        </w:rPr>
        <w:t>(301) 384-5525</w:t>
      </w:r>
    </w:p>
    <w:p w:rsidR="0020286B" w:rsidRDefault="0020286B" w:rsidP="0020286B">
      <w:pPr>
        <w:ind w:right="-360"/>
        <w:rPr>
          <w:rFonts w:eastAsia="Times New Roman"/>
          <w:bCs/>
        </w:rPr>
      </w:pPr>
    </w:p>
    <w:p w:rsidR="0020286B" w:rsidRDefault="009868B0" w:rsidP="0020286B">
      <w:pPr>
        <w:ind w:right="-360"/>
      </w:pPr>
      <w:r>
        <w:rPr>
          <w:rFonts w:eastAsia="Times New Roman"/>
          <w:bCs/>
        </w:rPr>
        <w:t>March 10</w:t>
      </w:r>
      <w:bookmarkStart w:id="0" w:name="_GoBack"/>
      <w:bookmarkEnd w:id="0"/>
      <w:r w:rsidR="0020286B">
        <w:rPr>
          <w:rFonts w:eastAsia="Times New Roman"/>
          <w:bCs/>
        </w:rPr>
        <w:t>, 2016</w:t>
      </w:r>
      <w:r w:rsidR="0020286B">
        <w:t xml:space="preserve"> </w:t>
      </w:r>
    </w:p>
    <w:p w:rsidR="00D378F4" w:rsidRPr="00F471F5" w:rsidRDefault="00D378F4" w:rsidP="00F471F5">
      <w:pPr>
        <w:spacing w:line="480" w:lineRule="auto"/>
        <w:rPr>
          <w:rFonts w:eastAsia="Times New Roman"/>
          <w:bCs/>
        </w:rPr>
      </w:pPr>
    </w:p>
    <w:p w:rsidR="00F471F5" w:rsidRPr="001D63B8" w:rsidRDefault="00F471F5" w:rsidP="001D63B8">
      <w:pPr>
        <w:spacing w:line="480" w:lineRule="auto"/>
        <w:rPr>
          <w:rFonts w:eastAsia="Times New Roman"/>
          <w:bCs/>
        </w:rPr>
      </w:pPr>
    </w:p>
    <w:p w:rsidR="0008420B" w:rsidRDefault="0008420B" w:rsidP="0008420B">
      <w:pPr>
        <w:spacing w:line="480" w:lineRule="auto"/>
      </w:pPr>
      <w:r>
        <w:rPr>
          <w:rFonts w:eastAsia="Calibri"/>
          <w:bCs/>
        </w:rPr>
        <w:t xml:space="preserve"> </w:t>
      </w:r>
      <w:r w:rsidRPr="0008420B">
        <w:rPr>
          <w:rFonts w:eastAsia="Calibri"/>
          <w:bCs/>
        </w:rPr>
        <w:t xml:space="preserve"> </w:t>
      </w:r>
    </w:p>
    <w:sectPr w:rsidR="000842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DC" w:rsidRDefault="00BF4FDC" w:rsidP="0008420B">
      <w:r>
        <w:separator/>
      </w:r>
    </w:p>
  </w:endnote>
  <w:endnote w:type="continuationSeparator" w:id="0">
    <w:p w:rsidR="00BF4FDC" w:rsidRDefault="00BF4FDC" w:rsidP="0008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DC" w:rsidRDefault="00BF4FDC" w:rsidP="0008420B">
      <w:r>
        <w:separator/>
      </w:r>
    </w:p>
  </w:footnote>
  <w:footnote w:type="continuationSeparator" w:id="0">
    <w:p w:rsidR="00BF4FDC" w:rsidRDefault="00BF4FDC" w:rsidP="0008420B">
      <w:r>
        <w:continuationSeparator/>
      </w:r>
    </w:p>
  </w:footnote>
  <w:footnote w:id="1">
    <w:p w:rsidR="00A45A73" w:rsidRDefault="00A45A73" w:rsidP="00A45A73">
      <w:pPr>
        <w:pStyle w:val="FootnoteText"/>
      </w:pPr>
      <w:r>
        <w:rPr>
          <w:rStyle w:val="FootnoteReference"/>
        </w:rPr>
        <w:footnoteRef/>
      </w:r>
      <w:r>
        <w:t xml:space="preserve"> These include the 135.7-137.8 kHz (</w:t>
      </w:r>
      <w:r w:rsidRPr="001017F8">
        <w:t>2200-meter) band; the 472-479 kHz (630-meter) band</w:t>
      </w:r>
      <w:r>
        <w:t>.</w:t>
      </w:r>
    </w:p>
  </w:footnote>
  <w:footnote w:id="2">
    <w:p w:rsidR="00A45A73" w:rsidRDefault="00A45A73">
      <w:pPr>
        <w:pStyle w:val="FootnoteText"/>
      </w:pPr>
      <w:r>
        <w:rPr>
          <w:rStyle w:val="FootnoteReference"/>
        </w:rPr>
        <w:footnoteRef/>
      </w:r>
      <w:r>
        <w:t xml:space="preserve"> UTC made no suggestion for service rules with respect to the 630-meter band because it opposed the allocation generally.</w:t>
      </w:r>
    </w:p>
  </w:footnote>
  <w:footnote w:id="3">
    <w:p w:rsidR="00DA1B32" w:rsidRDefault="00DA1B32" w:rsidP="00DA1B32">
      <w:pPr>
        <w:pStyle w:val="FootnoteText"/>
      </w:pPr>
      <w:r>
        <w:rPr>
          <w:rStyle w:val="FootnoteReference"/>
        </w:rPr>
        <w:footnoteRef/>
      </w:r>
      <w:r>
        <w:t xml:space="preserve"> PLC systems installed in either the 2200-meter or 630-meter bands </w:t>
      </w:r>
      <w:r w:rsidRPr="0077035D">
        <w:rPr>
          <w:i/>
        </w:rPr>
        <w:t>after the effective date of a Report and Order in this proceeding</w:t>
      </w:r>
      <w:r>
        <w:t xml:space="preserve"> should not be entitled to protection from Amateur stations operating in accordance with adopted technical rules in those segments. </w:t>
      </w:r>
      <w:r w:rsidR="003E4EF1">
        <w:t>Indeed, this is the very latest date after which PLCs using either of the two subject bands or any portion thereof should be entitled to any interference consideration by radio amateurs at all. Utilities have</w:t>
      </w:r>
      <w:r w:rsidR="003E4EF1" w:rsidRPr="003E4EF1">
        <w:t xml:space="preserve"> known since</w:t>
      </w:r>
      <w:r w:rsidR="003E4EF1">
        <w:t xml:space="preserve"> the end of</w:t>
      </w:r>
      <w:r w:rsidR="003E4EF1" w:rsidRPr="003E4EF1">
        <w:t xml:space="preserve"> WRC-07 (in the case of 2200 meters) and since WRC-12 (in the case of 630 meters) that these allocations had been added to the international Table. </w:t>
      </w:r>
      <w:r w:rsidR="003E4EF1">
        <w:t>Utilities should not be entitled</w:t>
      </w:r>
      <w:r w:rsidR="003E4EF1" w:rsidRPr="003E4EF1">
        <w:t xml:space="preserve"> to protection between the respective dates of those conferences (or</w:t>
      </w:r>
      <w:r w:rsidR="003E4EF1">
        <w:t xml:space="preserve">, more generously, </w:t>
      </w:r>
      <w:r w:rsidR="003E4EF1" w:rsidRPr="003E4EF1">
        <w:t>the effective dates of the respective Final Acts</w:t>
      </w:r>
      <w:r w:rsidR="003E4EF1">
        <w:t xml:space="preserve"> of those conferences</w:t>
      </w:r>
      <w:r w:rsidR="003E4EF1" w:rsidRPr="003E4EF1">
        <w:t xml:space="preserve">) and the effective date of a future Report and Order. </w:t>
      </w:r>
      <w:r w:rsidR="003E4EF1">
        <w:t>While</w:t>
      </w:r>
      <w:r w:rsidR="003E4EF1" w:rsidRPr="003E4EF1">
        <w:t xml:space="preserve"> the Commission cannot apply its rules retroactively</w:t>
      </w:r>
      <w:r w:rsidR="003E4EF1">
        <w:t xml:space="preserve">, it is inescapably true </w:t>
      </w:r>
      <w:r w:rsidR="003E4EF1" w:rsidRPr="003E4EF1">
        <w:t xml:space="preserve">that UTC and </w:t>
      </w:r>
      <w:r w:rsidR="003E4EF1">
        <w:t>utilities</w:t>
      </w:r>
      <w:r w:rsidR="003E4EF1" w:rsidRPr="003E4EF1">
        <w:t xml:space="preserve"> have had </w:t>
      </w:r>
      <w:r w:rsidR="003E4EF1">
        <w:t>years</w:t>
      </w:r>
      <w:r w:rsidR="003E4EF1" w:rsidRPr="003E4EF1">
        <w:t xml:space="preserve"> of notice that a new, low power licensed service was going to be introduced into these two</w:t>
      </w:r>
      <w:r w:rsidR="003E4EF1">
        <w:t>, very narrow segments and that utilities</w:t>
      </w:r>
      <w:r w:rsidR="003E4EF1" w:rsidRPr="003E4EF1">
        <w:t xml:space="preserve"> should avoid new installations using either band.</w:t>
      </w:r>
    </w:p>
  </w:footnote>
  <w:footnote w:id="4">
    <w:p w:rsidR="00DA1B32" w:rsidRPr="000A65B0" w:rsidRDefault="00DA1B32" w:rsidP="00DA1B32">
      <w:pPr>
        <w:pStyle w:val="FootnoteText"/>
      </w:pPr>
      <w:r w:rsidRPr="000A65B0">
        <w:rPr>
          <w:rStyle w:val="FootnoteReference"/>
        </w:rPr>
        <w:footnoteRef/>
      </w:r>
      <w:r w:rsidRPr="000A65B0">
        <w:t xml:space="preserve"> Andrew Farrar et al., Evaluation Techniques—Fixed Service Systems</w:t>
      </w:r>
      <w:r>
        <w:t xml:space="preserve"> to Power-Line-Carrier Circuits;</w:t>
      </w:r>
      <w:r w:rsidRPr="000A65B0">
        <w:t xml:space="preserve"> NTIA Report 85-181 (1985).</w:t>
      </w:r>
    </w:p>
  </w:footnote>
  <w:footnote w:id="5">
    <w:p w:rsidR="00DA1B32" w:rsidRPr="003133E5" w:rsidRDefault="00DA1B32" w:rsidP="00DA1B32">
      <w:pPr>
        <w:pStyle w:val="FootnoteText"/>
        <w:rPr>
          <w:iCs/>
        </w:rPr>
      </w:pPr>
      <w:r>
        <w:rPr>
          <w:rStyle w:val="FootnoteReference"/>
        </w:rPr>
        <w:footnoteRef/>
      </w:r>
      <w:r>
        <w:t xml:space="preserve"> </w:t>
      </w:r>
      <w:r w:rsidRPr="00CB5017">
        <w:t xml:space="preserve">Amateur stations must avoid high ambient noise areas in order to make use of the LF, MF or HF bands </w:t>
      </w:r>
      <w:r>
        <w:t>generally. They will therefore not</w:t>
      </w:r>
      <w:r w:rsidRPr="00CB5017">
        <w:t xml:space="preserve"> locate LF stations near transmission lines, because the noise from the lines (</w:t>
      </w:r>
      <w:r>
        <w:t xml:space="preserve">whether or not </w:t>
      </w:r>
      <w:r w:rsidRPr="00CB5017">
        <w:t>related to PLC) will inhibit or preclude two-way Amateur communications or reception of propagation beacons in the L</w:t>
      </w:r>
      <w:r>
        <w:t>F allocation in close geographic proximity to the line</w:t>
      </w:r>
      <w:r w:rsidRPr="003133E5">
        <w:t xml:space="preserve">. </w:t>
      </w:r>
      <w:r>
        <w:rPr>
          <w:iCs/>
        </w:rPr>
        <w:t>E</w:t>
      </w:r>
      <w:r w:rsidRPr="003133E5">
        <w:rPr>
          <w:iCs/>
        </w:rPr>
        <w:t>lectrical</w:t>
      </w:r>
      <w:r w:rsidRPr="003133E5">
        <w:rPr>
          <w:iCs/>
          <w:vertAlign w:val="superscript"/>
        </w:rPr>
        <w:t xml:space="preserve"> </w:t>
      </w:r>
      <w:r w:rsidRPr="003133E5">
        <w:rPr>
          <w:iCs/>
        </w:rPr>
        <w:t>nois</w:t>
      </w:r>
      <w:r>
        <w:rPr>
          <w:iCs/>
        </w:rPr>
        <w:t xml:space="preserve">e on transmission lines is </w:t>
      </w:r>
      <w:r w:rsidRPr="003133E5">
        <w:rPr>
          <w:iCs/>
        </w:rPr>
        <w:t>radiated more efficiently than</w:t>
      </w:r>
      <w:r>
        <w:rPr>
          <w:iCs/>
        </w:rPr>
        <w:t xml:space="preserve"> is</w:t>
      </w:r>
      <w:r w:rsidRPr="003133E5">
        <w:rPr>
          <w:iCs/>
        </w:rPr>
        <w:t xml:space="preserve"> the PLC signal, generally making the noise environment near the lines high enough that Amateur operation in the immediate vicinity of the power lines</w:t>
      </w:r>
      <w:r>
        <w:rPr>
          <w:iCs/>
        </w:rPr>
        <w:t xml:space="preserve"> is</w:t>
      </w:r>
      <w:r w:rsidRPr="003133E5">
        <w:rPr>
          <w:iCs/>
        </w:rPr>
        <w:t xml:space="preserve"> unlikely due to preclusive noise at the Amateur receiver.</w:t>
      </w:r>
    </w:p>
    <w:p w:rsidR="00DA1B32" w:rsidRDefault="00DA1B32" w:rsidP="00DA1B32">
      <w:pPr>
        <w:pStyle w:val="FootnoteText"/>
      </w:pPr>
    </w:p>
  </w:footnote>
  <w:footnote w:id="6">
    <w:p w:rsidR="00DA1B32" w:rsidRPr="00FE291D" w:rsidRDefault="00DA1B32" w:rsidP="00DA1B32">
      <w:pPr>
        <w:pStyle w:val="FootnoteText"/>
      </w:pPr>
      <w:r>
        <w:rPr>
          <w:rStyle w:val="FootnoteReference"/>
        </w:rPr>
        <w:footnoteRef/>
      </w:r>
      <w:r>
        <w:t xml:space="preserve"> See, 47 C.F.R. §15.113(e).</w:t>
      </w:r>
    </w:p>
  </w:footnote>
  <w:footnote w:id="7">
    <w:p w:rsidR="004C43FF" w:rsidRPr="00960C26" w:rsidRDefault="004C43FF" w:rsidP="004C43FF">
      <w:pPr>
        <w:pStyle w:val="FootnoteText"/>
        <w:rPr>
          <w:i/>
        </w:rPr>
      </w:pPr>
      <w:r>
        <w:rPr>
          <w:rStyle w:val="FootnoteReference"/>
        </w:rPr>
        <w:footnoteRef/>
      </w:r>
      <w:r w:rsidR="00A56AD7">
        <w:t xml:space="preserve"> </w:t>
      </w:r>
      <w:r>
        <w:t xml:space="preserve">UTC is in agreement with ARRL that it is not necessary to impose any distance restrictions on Amateur stations proximate to PLC-carrying transmission lines where Amateur allocations are not used or overlapped by the PLCs. At page 6 of its comments, UTC states as follows: “UTC also supports restrictions on Amateur operations in the 135.7-137.8 kHz band, as proposed by the Commission. Specifically, UTC supports restricting Amateur operations in the 135.7-137.8 kHz band from a distance of at least 1 km </w:t>
      </w:r>
      <w:r w:rsidRPr="00960C26">
        <w:rPr>
          <w:i/>
        </w:rPr>
        <w:t>from a PLC system operating in the</w:t>
      </w:r>
    </w:p>
    <w:p w:rsidR="004C43FF" w:rsidRDefault="004C43FF" w:rsidP="004C43FF">
      <w:pPr>
        <w:pStyle w:val="FootnoteText"/>
      </w:pPr>
      <w:proofErr w:type="gramStart"/>
      <w:r w:rsidRPr="00960C26">
        <w:rPr>
          <w:i/>
        </w:rPr>
        <w:t>135.7-137.8 kHz band</w:t>
      </w:r>
      <w:r>
        <w:t>.”</w:t>
      </w:r>
      <w:proofErr w:type="gramEnd"/>
      <w:r>
        <w:t xml:space="preserve"> (</w:t>
      </w:r>
      <w:proofErr w:type="gramStart"/>
      <w:r>
        <w:t>emphasis</w:t>
      </w:r>
      <w:proofErr w:type="gramEnd"/>
      <w:r>
        <w:t xml:space="preserve"> added).</w:t>
      </w:r>
    </w:p>
  </w:footnote>
  <w:footnote w:id="8">
    <w:p w:rsidR="004C43FF" w:rsidRDefault="004C43FF" w:rsidP="004C43FF">
      <w:pPr>
        <w:pStyle w:val="FootnoteText"/>
      </w:pPr>
      <w:r>
        <w:rPr>
          <w:rStyle w:val="FootnoteReference"/>
        </w:rPr>
        <w:footnoteRef/>
      </w:r>
      <w:r>
        <w:t xml:space="preserve"> </w:t>
      </w:r>
      <w:r>
        <w:rPr>
          <w:iCs/>
        </w:rPr>
        <w:t>A</w:t>
      </w:r>
      <w:r w:rsidRPr="00B51BBE">
        <w:rPr>
          <w:iCs/>
        </w:rPr>
        <w:t xml:space="preserve"> power utility operating a PLC system is required to submit the details of all existing systems plus any proposed new PLC systems or changes to PLC existing systems to an “industry</w:t>
      </w:r>
      <w:r w:rsidRPr="00B51BBE">
        <w:rPr>
          <w:iCs/>
        </w:rPr>
        <w:noBreakHyphen/>
        <w:t>operated entity.”</w:t>
      </w:r>
      <w:r w:rsidRPr="00B51BBE">
        <w:t xml:space="preserve"> </w:t>
      </w:r>
      <w:proofErr w:type="gramStart"/>
      <w:r w:rsidRPr="00B51BBE">
        <w:t>47 C.F.R. §§ 15.113(a), 90.35(g).</w:t>
      </w:r>
      <w:proofErr w:type="gramEnd"/>
      <w:r w:rsidRPr="00B51BBE">
        <w:t xml:space="preserve">  Currently</w:t>
      </w:r>
      <w:r>
        <w:t>, UTC</w:t>
      </w:r>
      <w:r w:rsidRPr="00B51BBE">
        <w:t xml:space="preserve"> acts in this capacity.</w:t>
      </w:r>
      <w:r>
        <w:t xml:space="preserve"> </w:t>
      </w:r>
      <w:r>
        <w:rPr>
          <w:iCs/>
        </w:rPr>
        <w:t>T</w:t>
      </w:r>
      <w:r w:rsidRPr="00F84B3D">
        <w:rPr>
          <w:iCs/>
        </w:rPr>
        <w:t xml:space="preserve">he provisions of </w:t>
      </w:r>
      <w:r w:rsidRPr="00B51BBE">
        <w:rPr>
          <w:iCs/>
        </w:rPr>
        <w:t xml:space="preserve">47 C.F.R. § 90.35(g) are repeated in the </w:t>
      </w:r>
      <w:r w:rsidRPr="00B51BBE">
        <w:rPr>
          <w:i/>
          <w:iCs/>
        </w:rPr>
        <w:t>NTIA Manual of Regulations and Procedures for Federal Radio Frequency Management</w:t>
      </w:r>
      <w:r w:rsidRPr="00B51BBE">
        <w:rPr>
          <w:iCs/>
        </w:rPr>
        <w:t xml:space="preserve"> (the “NTIA Redbook”), at § 8.3.27.</w:t>
      </w:r>
      <w:r w:rsidRPr="00F84B3D">
        <w:rPr>
          <w:rFonts w:eastAsia="Times New Roman"/>
          <w:iCs/>
          <w:sz w:val="24"/>
          <w:szCs w:val="24"/>
        </w:rPr>
        <w:t xml:space="preserve"> </w:t>
      </w:r>
      <w:r w:rsidRPr="00F84B3D">
        <w:rPr>
          <w:iCs/>
        </w:rPr>
        <w:t>Assuming that these procedures are followed by utilities operating PLC systems and that the database is current as per the Commission’s Rules, it can be concluded that the location and characteristics, operating frequency, and bandwidth of each and every PLC system in the United States is know</w:t>
      </w:r>
      <w:r>
        <w:rPr>
          <w:iCs/>
        </w:rPr>
        <w:t>n to UTC and knowable by others and it can and should be used for notification purposes.</w:t>
      </w:r>
    </w:p>
  </w:footnote>
  <w:footnote w:id="9">
    <w:p w:rsidR="00053BFC" w:rsidRDefault="00053BFC">
      <w:pPr>
        <w:pStyle w:val="FootnoteText"/>
      </w:pPr>
      <w:r>
        <w:rPr>
          <w:rStyle w:val="FootnoteReference"/>
        </w:rPr>
        <w:footnoteRef/>
      </w:r>
      <w:r>
        <w:t xml:space="preserve"> </w:t>
      </w:r>
      <w:r>
        <w:rPr>
          <w:bCs/>
          <w:iCs/>
        </w:rPr>
        <w:t>This is because</w:t>
      </w:r>
      <w:r w:rsidRPr="00053BFC">
        <w:rPr>
          <w:bCs/>
          <w:iCs/>
        </w:rPr>
        <w:t xml:space="preserve"> (1) many transmission power lines do not carry PLC at all; (2) most PLCs do not use the very small Amateur allocations at 2200 or 630 meters; and (3) the purpose of this band for radio amateurs is experimentation; all equipment and antennas must be constructed by</w:t>
      </w:r>
      <w:r>
        <w:rPr>
          <w:bCs/>
          <w:iCs/>
        </w:rPr>
        <w:t xml:space="preserve"> the licensees themselves. T</w:t>
      </w:r>
      <w:r w:rsidRPr="00053BFC">
        <w:rPr>
          <w:bCs/>
          <w:iCs/>
        </w:rPr>
        <w:t>herefore the Amateur use of the bands for the foreseeable future is expected to be considerably less than the 160-meter or higher frequency bands.</w:t>
      </w:r>
      <w:r w:rsidR="0020286B" w:rsidRPr="0020286B">
        <w:rPr>
          <w:rFonts w:eastAsia="Times New Roman"/>
          <w:bCs/>
          <w:iCs/>
          <w:sz w:val="24"/>
          <w:szCs w:val="24"/>
        </w:rPr>
        <w:t xml:space="preserve"> </w:t>
      </w:r>
      <w:r w:rsidR="0020286B" w:rsidRPr="0020286B">
        <w:rPr>
          <w:bCs/>
          <w:iCs/>
        </w:rPr>
        <w:t>With respect to the 630-meter segment</w:t>
      </w:r>
      <w:r w:rsidR="0020286B">
        <w:rPr>
          <w:bCs/>
          <w:iCs/>
        </w:rPr>
        <w:t xml:space="preserve"> especially</w:t>
      </w:r>
      <w:r w:rsidR="0020286B" w:rsidRPr="0020286B">
        <w:rPr>
          <w:bCs/>
          <w:iCs/>
        </w:rPr>
        <w:t>,</w:t>
      </w:r>
      <w:r w:rsidR="0020286B">
        <w:rPr>
          <w:bCs/>
          <w:iCs/>
        </w:rPr>
        <w:t xml:space="preserve"> </w:t>
      </w:r>
      <w:r w:rsidR="005A3AED">
        <w:rPr>
          <w:bCs/>
          <w:iCs/>
        </w:rPr>
        <w:t xml:space="preserve">any </w:t>
      </w:r>
      <w:r w:rsidR="0020286B">
        <w:rPr>
          <w:bCs/>
          <w:iCs/>
        </w:rPr>
        <w:t>notification requirements should be closely circumscribed. In that band</w:t>
      </w:r>
      <w:r w:rsidR="0020286B" w:rsidRPr="0020286B">
        <w:rPr>
          <w:bCs/>
          <w:iCs/>
        </w:rPr>
        <w:t xml:space="preserve"> there is </w:t>
      </w:r>
      <w:r w:rsidR="0020286B">
        <w:rPr>
          <w:bCs/>
          <w:iCs/>
        </w:rPr>
        <w:t>virtually</w:t>
      </w:r>
      <w:r w:rsidR="0020286B" w:rsidRPr="0020286B">
        <w:rPr>
          <w:bCs/>
          <w:iCs/>
        </w:rPr>
        <w:t xml:space="preserve"> no PLC operation at all. According to the 2002 article in </w:t>
      </w:r>
      <w:r w:rsidR="0020286B" w:rsidRPr="0020286B">
        <w:rPr>
          <w:bCs/>
          <w:i/>
          <w:iCs/>
        </w:rPr>
        <w:t>IEEE Transactions on Power Delivery</w:t>
      </w:r>
      <w:r w:rsidR="0020286B" w:rsidRPr="0020286B">
        <w:rPr>
          <w:bCs/>
          <w:iCs/>
        </w:rPr>
        <w:t xml:space="preserve"> entitled </w:t>
      </w:r>
      <w:r w:rsidR="0020286B" w:rsidRPr="0020286B">
        <w:rPr>
          <w:bCs/>
          <w:i/>
          <w:iCs/>
        </w:rPr>
        <w:t xml:space="preserve">Evaluation of the Potential for Power Line Carrier (PLC) to Interfere With Use of the Nationwide Differential GPS Network </w:t>
      </w:r>
      <w:r w:rsidR="0020286B" w:rsidRPr="0020286B">
        <w:rPr>
          <w:bCs/>
          <w:iCs/>
        </w:rPr>
        <w:t>(Silva, Michael, Senior Member, IEEE and Whitney, Bruce, Member, IEEE),</w:t>
      </w:r>
      <w:r w:rsidR="0020286B" w:rsidRPr="0020286B">
        <w:rPr>
          <w:bCs/>
          <w:iCs/>
          <w:vertAlign w:val="superscript"/>
        </w:rPr>
        <w:footnoteRef/>
      </w:r>
      <w:r w:rsidR="0020286B" w:rsidRPr="0020286B">
        <w:rPr>
          <w:bCs/>
          <w:iCs/>
        </w:rPr>
        <w:t xml:space="preserve"> of the 28,816 PLC transmitters that existed in the United States in 1999, </w:t>
      </w:r>
      <w:r w:rsidR="0020286B" w:rsidRPr="0020286B">
        <w:rPr>
          <w:bCs/>
          <w:i/>
          <w:iCs/>
          <w:u w:val="single"/>
        </w:rPr>
        <w:t>only 20 operated anywhere in the band 450-490 kHz</w:t>
      </w:r>
      <w:r w:rsidR="0020286B" w:rsidRPr="0020286B">
        <w:rPr>
          <w:bCs/>
          <w:iCs/>
        </w:rPr>
        <w:t>.</w:t>
      </w:r>
      <w:r w:rsidR="0020286B">
        <w:rPr>
          <w:bCs/>
          <w:iCs/>
        </w:rPr>
        <w:t xml:space="preserve"> Of the</w:t>
      </w:r>
      <w:r w:rsidR="0020286B" w:rsidRPr="0020286B">
        <w:rPr>
          <w:bCs/>
          <w:iCs/>
        </w:rPr>
        <w:t xml:space="preserve"> 40 kHz-wide segment referred to in that article, only 7 kHz is proposed to be allocated domestically to the Amateur Service now. Therefore, even if </w:t>
      </w:r>
      <w:r w:rsidR="0020286B" w:rsidRPr="0020286B">
        <w:rPr>
          <w:bCs/>
          <w:iCs/>
          <w:u w:val="single"/>
        </w:rPr>
        <w:t>any</w:t>
      </w:r>
      <w:r w:rsidR="0020286B" w:rsidRPr="0020286B">
        <w:rPr>
          <w:bCs/>
          <w:iCs/>
        </w:rPr>
        <w:t xml:space="preserve"> of those 20 PLC transmitters that operated </w:t>
      </w:r>
      <w:r w:rsidR="0020286B" w:rsidRPr="0020286B">
        <w:rPr>
          <w:bCs/>
          <w:i/>
          <w:iCs/>
        </w:rPr>
        <w:t>somewhere</w:t>
      </w:r>
      <w:r w:rsidR="0020286B" w:rsidRPr="0020286B">
        <w:rPr>
          <w:bCs/>
          <w:iCs/>
        </w:rPr>
        <w:t xml:space="preserve"> in the 450-490 kHz band in 1999 are still operational</w:t>
      </w:r>
      <w:r w:rsidR="0020286B">
        <w:rPr>
          <w:bCs/>
          <w:iCs/>
        </w:rPr>
        <w:t xml:space="preserve"> 17</w:t>
      </w:r>
      <w:r w:rsidR="0020286B" w:rsidRPr="0020286B">
        <w:rPr>
          <w:bCs/>
          <w:iCs/>
        </w:rPr>
        <w:t xml:space="preserve"> years later, and even if </w:t>
      </w:r>
      <w:r w:rsidR="0020286B" w:rsidRPr="0020286B">
        <w:rPr>
          <w:bCs/>
          <w:iCs/>
          <w:u w:val="single"/>
        </w:rPr>
        <w:t>any</w:t>
      </w:r>
      <w:r w:rsidR="0020286B" w:rsidRPr="0020286B">
        <w:rPr>
          <w:bCs/>
          <w:iCs/>
        </w:rPr>
        <w:t xml:space="preserve"> of those which were operating in 1999 and which are still operational are presently operating in the small segment 472-479 kHz,</w:t>
      </w:r>
      <w:r w:rsidR="0020286B">
        <w:rPr>
          <w:bCs/>
          <w:iCs/>
        </w:rPr>
        <w:t xml:space="preserve"> the chances of a given Amateur station interfering with one are infinitesimally low.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0B"/>
    <w:rsid w:val="00041E28"/>
    <w:rsid w:val="00053BFC"/>
    <w:rsid w:val="0008420B"/>
    <w:rsid w:val="001D63B8"/>
    <w:rsid w:val="0020286B"/>
    <w:rsid w:val="003E4EF1"/>
    <w:rsid w:val="00436F0E"/>
    <w:rsid w:val="00476BA3"/>
    <w:rsid w:val="004C43FF"/>
    <w:rsid w:val="005113F7"/>
    <w:rsid w:val="005A3AED"/>
    <w:rsid w:val="00770095"/>
    <w:rsid w:val="008E1BE0"/>
    <w:rsid w:val="00974A53"/>
    <w:rsid w:val="009868B0"/>
    <w:rsid w:val="00A45A73"/>
    <w:rsid w:val="00A56AD7"/>
    <w:rsid w:val="00BF4FDC"/>
    <w:rsid w:val="00D30153"/>
    <w:rsid w:val="00D378F4"/>
    <w:rsid w:val="00D47A71"/>
    <w:rsid w:val="00DA1B32"/>
    <w:rsid w:val="00E96C0D"/>
    <w:rsid w:val="00F4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20B"/>
    <w:rPr>
      <w:sz w:val="20"/>
      <w:szCs w:val="20"/>
    </w:rPr>
  </w:style>
  <w:style w:type="character" w:customStyle="1" w:styleId="FootnoteTextChar">
    <w:name w:val="Footnote Text Char"/>
    <w:basedOn w:val="DefaultParagraphFont"/>
    <w:link w:val="FootnoteText"/>
    <w:uiPriority w:val="99"/>
    <w:semiHidden/>
    <w:rsid w:val="0008420B"/>
    <w:rPr>
      <w:sz w:val="20"/>
      <w:szCs w:val="20"/>
    </w:rPr>
  </w:style>
  <w:style w:type="character" w:styleId="FootnoteReference">
    <w:name w:val="footnote reference"/>
    <w:basedOn w:val="DefaultParagraphFont"/>
    <w:uiPriority w:val="99"/>
    <w:semiHidden/>
    <w:unhideWhenUsed/>
    <w:rsid w:val="000842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20B"/>
    <w:rPr>
      <w:sz w:val="20"/>
      <w:szCs w:val="20"/>
    </w:rPr>
  </w:style>
  <w:style w:type="character" w:customStyle="1" w:styleId="FootnoteTextChar">
    <w:name w:val="Footnote Text Char"/>
    <w:basedOn w:val="DefaultParagraphFont"/>
    <w:link w:val="FootnoteText"/>
    <w:uiPriority w:val="99"/>
    <w:semiHidden/>
    <w:rsid w:val="0008420B"/>
    <w:rPr>
      <w:sz w:val="20"/>
      <w:szCs w:val="20"/>
    </w:rPr>
  </w:style>
  <w:style w:type="character" w:styleId="FootnoteReference">
    <w:name w:val="footnote reference"/>
    <w:basedOn w:val="DefaultParagraphFont"/>
    <w:uiPriority w:val="99"/>
    <w:semiHidden/>
    <w:unhideWhenUsed/>
    <w:rsid w:val="00084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2016-03-09T19:15:00Z</dcterms:created>
  <dcterms:modified xsi:type="dcterms:W3CDTF">2016-03-09T19:15:00Z</dcterms:modified>
</cp:coreProperties>
</file>