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5745" w:rsidRDefault="00191228" w:rsidP="00191228">
      <w:pPr>
        <w:jc w:val="right"/>
      </w:pPr>
      <w:r>
        <w:t>DOCUMENT 13</w:t>
      </w:r>
    </w:p>
    <w:p w:rsidR="00191228" w:rsidRDefault="00191228" w:rsidP="00191228">
      <w:pPr>
        <w:jc w:val="center"/>
      </w:pPr>
      <w:r>
        <w:t>REPORT OF THE EXECUTIVE COMMITTEE</w:t>
      </w:r>
    </w:p>
    <w:p w:rsidR="00191228" w:rsidRDefault="00191228" w:rsidP="00191228">
      <w:pPr>
        <w:jc w:val="center"/>
      </w:pPr>
      <w:r>
        <w:t>January, 2016</w:t>
      </w:r>
    </w:p>
    <w:p w:rsidR="00191228" w:rsidRDefault="00191228">
      <w:r>
        <w:t>The Minutes of the Executive Committee’s in-person meeting in October, 2015, were attached t</w:t>
      </w:r>
      <w:r w:rsidR="00A5264C">
        <w:t>o ODV</w:t>
      </w:r>
      <w:proofErr w:type="gramStart"/>
      <w:r w:rsidR="00A5264C">
        <w:t>:24723</w:t>
      </w:r>
      <w:proofErr w:type="gramEnd"/>
      <w:r w:rsidR="00A5264C">
        <w:t xml:space="preserve">.  To address issues raised by some Directors in an on-line discussion of procedure and timing, </w:t>
      </w:r>
      <w:r>
        <w:t xml:space="preserve">the EC adopted a SOP at Minute 9.4 </w:t>
      </w:r>
      <w:r w:rsidR="00A5264C">
        <w:t xml:space="preserve">intended </w:t>
      </w:r>
      <w:r>
        <w:t xml:space="preserve">to allow </w:t>
      </w:r>
      <w:r w:rsidR="00A5264C">
        <w:t xml:space="preserve">except in unusual circumstances </w:t>
      </w:r>
      <w:r>
        <w:t xml:space="preserve">several days’ time to consider actions proposed by the EC </w:t>
      </w:r>
      <w:r w:rsidR="00A5264C">
        <w:t>before the vote is called by the Secretary</w:t>
      </w:r>
      <w:r>
        <w:t>. The Minute reads as follows:</w:t>
      </w:r>
    </w:p>
    <w:p w:rsidR="00191228" w:rsidRDefault="00191228" w:rsidP="00191228">
      <w:pPr>
        <w:ind w:right="-720"/>
      </w:pPr>
      <w:r>
        <w:t>9.4.</w:t>
      </w:r>
      <w:r>
        <w:tab/>
        <w:t>On motion of Mr. Williams, the following procedure with respect to submissions to the Board for voting in accordance with Article 6 of the Articles of Association is adopted:</w:t>
      </w:r>
    </w:p>
    <w:p w:rsidR="00191228" w:rsidRPr="00704A4F" w:rsidRDefault="00191228" w:rsidP="00191228">
      <w:pPr>
        <w:pStyle w:val="ListParagraph"/>
        <w:numPr>
          <w:ilvl w:val="0"/>
          <w:numId w:val="1"/>
        </w:numPr>
        <w:ind w:right="-720"/>
        <w:rPr>
          <w:rFonts w:asciiTheme="minorHAnsi" w:hAnsiTheme="minorHAnsi"/>
          <w:sz w:val="22"/>
          <w:szCs w:val="22"/>
        </w:rPr>
      </w:pPr>
      <w:r w:rsidRPr="00704A4F">
        <w:rPr>
          <w:rFonts w:asciiTheme="minorHAnsi" w:hAnsiTheme="minorHAnsi"/>
          <w:sz w:val="22"/>
          <w:szCs w:val="22"/>
        </w:rPr>
        <w:t>The proposed resolution is to be circulated to the Board three business days in advance of being formally submitted for vote, to permit time for questions and comments – in other words, for consultation with Board members.</w:t>
      </w:r>
    </w:p>
    <w:p w:rsidR="00191228" w:rsidRPr="00704A4F" w:rsidRDefault="00191228" w:rsidP="00191228">
      <w:pPr>
        <w:pStyle w:val="ListParagraph"/>
        <w:numPr>
          <w:ilvl w:val="0"/>
          <w:numId w:val="1"/>
        </w:numPr>
        <w:ind w:right="-720"/>
        <w:rPr>
          <w:rFonts w:asciiTheme="minorHAnsi" w:hAnsiTheme="minorHAnsi"/>
          <w:sz w:val="22"/>
          <w:szCs w:val="22"/>
        </w:rPr>
      </w:pPr>
      <w:r w:rsidRPr="00704A4F">
        <w:rPr>
          <w:rFonts w:asciiTheme="minorHAnsi" w:hAnsiTheme="minorHAnsi"/>
          <w:sz w:val="22"/>
          <w:szCs w:val="22"/>
        </w:rPr>
        <w:t>At the conclusion of this period the Executive Committee will take the comments into account and may either offer the resolution for formal consideration in original or revised form, or withdraw it from consideration.</w:t>
      </w:r>
    </w:p>
    <w:p w:rsidR="00191228" w:rsidRPr="00704A4F" w:rsidRDefault="00191228" w:rsidP="00191228">
      <w:pPr>
        <w:pStyle w:val="ListParagraph"/>
        <w:numPr>
          <w:ilvl w:val="0"/>
          <w:numId w:val="1"/>
        </w:numPr>
        <w:ind w:right="-720"/>
        <w:rPr>
          <w:rFonts w:asciiTheme="minorHAnsi" w:hAnsiTheme="minorHAnsi"/>
          <w:sz w:val="22"/>
          <w:szCs w:val="22"/>
        </w:rPr>
      </w:pPr>
      <w:r w:rsidRPr="00704A4F">
        <w:rPr>
          <w:rFonts w:asciiTheme="minorHAnsi" w:hAnsiTheme="minorHAnsi"/>
          <w:sz w:val="22"/>
          <w:szCs w:val="22"/>
        </w:rPr>
        <w:t>The Executive Committee may waive this procedure on the rare occasions when the additional delay might be damaging to the ARRL’s interests.</w:t>
      </w:r>
    </w:p>
    <w:p w:rsidR="00191228" w:rsidRDefault="00191228"/>
    <w:p w:rsidR="00AE2F8C" w:rsidRDefault="00AE2F8C">
      <w:r>
        <w:t>The EC continues to be concerned about the inadequacy of FCC enforcement regarding both malicious interference and interference to Amateur operations from outside sources such as power lines and grow lights. As the meeting Minutes show, we reviewed plans to increase pressure in this area. Chris’s report will provide additional information and thoughts.</w:t>
      </w:r>
    </w:p>
    <w:p w:rsidR="00191228" w:rsidRDefault="00A5264C">
      <w:r>
        <w:t>The committee made good progress in its review of the Standing</w:t>
      </w:r>
      <w:r w:rsidR="00842F3A">
        <w:t xml:space="preserve"> Orders. Standing Orders are</w:t>
      </w:r>
      <w:r>
        <w:t xml:space="preserve"> Boa</w:t>
      </w:r>
      <w:r w:rsidR="00842F3A">
        <w:t>rd actions which have lasting</w:t>
      </w:r>
      <w:r>
        <w:t xml:space="preserve"> effects but which are not</w:t>
      </w:r>
      <w:r w:rsidR="00842F3A">
        <w:t xml:space="preserve"> otherwise incorporated into the working documents of the organization</w:t>
      </w:r>
      <w:r>
        <w:t xml:space="preserve">. From time to time, the EC reviews the Standing Orders and recommends deletion of ones which have outlived their purpose, been overtaken by events, or </w:t>
      </w:r>
      <w:r w:rsidR="007C3AB1">
        <w:t xml:space="preserve">simply become no-brainers. </w:t>
      </w:r>
    </w:p>
    <w:p w:rsidR="007C3AB1" w:rsidRDefault="007C3AB1">
      <w:r>
        <w:t>It was especially appropriate to do a review in 2015, in light of Dave Sumner’s impending retirement, because Dave is the person best able to advise about the purpose of old Standing Orders and</w:t>
      </w:r>
      <w:r w:rsidR="00842F3A">
        <w:t xml:space="preserve"> current practice</w:t>
      </w:r>
      <w:r>
        <w:t xml:space="preserve">. Paring down the list </w:t>
      </w:r>
      <w:r w:rsidR="00842F3A">
        <w:t xml:space="preserve">to the essentials </w:t>
      </w:r>
      <w:r>
        <w:t>should make things less complicated for the new CEO.</w:t>
      </w:r>
    </w:p>
    <w:p w:rsidR="007C3AB1" w:rsidRDefault="007C3AB1">
      <w:r>
        <w:t>The review resulted in three lists of Standing Orders. One is made up of Standing Orders which are still useful and should be retained. A second lists Standing Orders that are no longer useful and should be deleted. That list</w:t>
      </w:r>
      <w:r w:rsidR="00C436B7">
        <w:t>, which</w:t>
      </w:r>
      <w:r>
        <w:t xml:space="preserve"> </w:t>
      </w:r>
      <w:r w:rsidR="00C368DB">
        <w:t xml:space="preserve">is Appendix A </w:t>
      </w:r>
      <w:r>
        <w:t xml:space="preserve">to this report, </w:t>
      </w:r>
      <w:r w:rsidR="00C436B7">
        <w:t xml:space="preserve">was reviewed item-by-item at the EC’s in-person meeting and the recommendations shown were agreed to. A </w:t>
      </w:r>
      <w:r>
        <w:t xml:space="preserve">motion to delete those Standing Orders will be </w:t>
      </w:r>
      <w:r w:rsidR="00C436B7">
        <w:t xml:space="preserve">offered </w:t>
      </w:r>
      <w:r>
        <w:t>at the Board meeting. The third list includes Standing Orders needing further consideration before a recommendation can be made to keep them</w:t>
      </w:r>
      <w:r w:rsidR="00C436B7">
        <w:t>, modify them,</w:t>
      </w:r>
      <w:r>
        <w:t xml:space="preserve"> or delete them. This list, with the 2015 committee’s comments, is being passed to the 2016 EC.</w:t>
      </w:r>
    </w:p>
    <w:p w:rsidR="007C3AB1" w:rsidRDefault="007C3AB1">
      <w:r>
        <w:t xml:space="preserve">The EC did not have very many FCC proceedings to deal with in the second half of the year. Consequently, the whole year’s list of filings </w:t>
      </w:r>
      <w:r w:rsidR="00634367">
        <w:t xml:space="preserve">reviewed and </w:t>
      </w:r>
      <w:r>
        <w:t>approved by the EC is shown here:</w:t>
      </w:r>
    </w:p>
    <w:p w:rsidR="007C3AB1" w:rsidRPr="00704A4F" w:rsidRDefault="007C3AB1" w:rsidP="007C3AB1">
      <w:pPr>
        <w:pStyle w:val="Default"/>
        <w:rPr>
          <w:rFonts w:asciiTheme="minorHAnsi" w:hAnsiTheme="minorHAnsi"/>
          <w:sz w:val="22"/>
          <w:szCs w:val="22"/>
        </w:rPr>
      </w:pPr>
      <w:r w:rsidRPr="00704A4F">
        <w:rPr>
          <w:rFonts w:asciiTheme="minorHAnsi" w:hAnsiTheme="minorHAnsi"/>
          <w:sz w:val="22"/>
          <w:szCs w:val="22"/>
        </w:rPr>
        <w:lastRenderedPageBreak/>
        <w:t>A single filing [ODV:23797] in the matter of Notice of Inquiry, Docket 14-154, including</w:t>
      </w:r>
    </w:p>
    <w:p w:rsidR="007C3AB1" w:rsidRPr="00704A4F" w:rsidRDefault="007C3AB1" w:rsidP="007C3AB1">
      <w:pPr>
        <w:pStyle w:val="Default"/>
        <w:rPr>
          <w:sz w:val="22"/>
          <w:szCs w:val="22"/>
        </w:rPr>
      </w:pPr>
    </w:p>
    <w:p w:rsidR="007C3AB1" w:rsidRPr="00704A4F" w:rsidRDefault="007C3AB1" w:rsidP="007C3AB1">
      <w:pPr>
        <w:pStyle w:val="Default"/>
        <w:numPr>
          <w:ilvl w:val="0"/>
          <w:numId w:val="2"/>
        </w:numPr>
        <w:rPr>
          <w:rFonts w:asciiTheme="minorHAnsi" w:hAnsiTheme="minorHAnsi"/>
          <w:sz w:val="22"/>
          <w:szCs w:val="22"/>
        </w:rPr>
      </w:pPr>
      <w:r w:rsidRPr="00704A4F">
        <w:rPr>
          <w:rFonts w:asciiTheme="minorHAnsi" w:hAnsiTheme="minorHAnsi"/>
          <w:bCs/>
          <w:sz w:val="22"/>
          <w:szCs w:val="22"/>
        </w:rPr>
        <w:t xml:space="preserve">Use of Spectrum Bands Above 24 GHz for Mobile Radio Services -- GN Docket No. 14-177 </w:t>
      </w:r>
    </w:p>
    <w:p w:rsidR="007C3AB1" w:rsidRPr="00704A4F" w:rsidRDefault="007C3AB1" w:rsidP="007C3AB1">
      <w:pPr>
        <w:pStyle w:val="Default"/>
        <w:rPr>
          <w:rFonts w:asciiTheme="minorHAnsi" w:hAnsiTheme="minorHAnsi"/>
          <w:bCs/>
          <w:sz w:val="22"/>
          <w:szCs w:val="22"/>
        </w:rPr>
      </w:pPr>
    </w:p>
    <w:p w:rsidR="007C3AB1" w:rsidRPr="00704A4F" w:rsidRDefault="007C3AB1" w:rsidP="007C3AB1">
      <w:pPr>
        <w:pStyle w:val="Default"/>
        <w:numPr>
          <w:ilvl w:val="0"/>
          <w:numId w:val="2"/>
        </w:numPr>
        <w:rPr>
          <w:rFonts w:asciiTheme="minorHAnsi" w:hAnsiTheme="minorHAnsi"/>
          <w:sz w:val="22"/>
          <w:szCs w:val="22"/>
        </w:rPr>
      </w:pPr>
      <w:r w:rsidRPr="00704A4F">
        <w:rPr>
          <w:rFonts w:asciiTheme="minorHAnsi" w:hAnsiTheme="minorHAnsi"/>
          <w:bCs/>
          <w:sz w:val="22"/>
          <w:szCs w:val="22"/>
        </w:rPr>
        <w:t>Amendments of the Commission’s Rules Regarding The 37.0-38.6 GHz and 38.6-40.0 GHz Bands -- ET Docket No. 95-183 (terminated)</w:t>
      </w:r>
    </w:p>
    <w:p w:rsidR="007C3AB1" w:rsidRPr="00704A4F" w:rsidRDefault="007C3AB1" w:rsidP="007C3AB1">
      <w:pPr>
        <w:pStyle w:val="Default"/>
        <w:ind w:firstLine="45"/>
        <w:rPr>
          <w:rFonts w:asciiTheme="minorHAnsi" w:hAnsiTheme="minorHAnsi"/>
          <w:sz w:val="22"/>
          <w:szCs w:val="22"/>
        </w:rPr>
      </w:pPr>
    </w:p>
    <w:p w:rsidR="007C3AB1" w:rsidRPr="00704A4F" w:rsidRDefault="007C3AB1" w:rsidP="007C3AB1">
      <w:pPr>
        <w:pStyle w:val="Default"/>
        <w:numPr>
          <w:ilvl w:val="0"/>
          <w:numId w:val="2"/>
        </w:numPr>
        <w:rPr>
          <w:rFonts w:asciiTheme="minorHAnsi" w:hAnsiTheme="minorHAnsi"/>
          <w:sz w:val="22"/>
          <w:szCs w:val="22"/>
        </w:rPr>
      </w:pPr>
      <w:r w:rsidRPr="00704A4F">
        <w:rPr>
          <w:rFonts w:asciiTheme="minorHAnsi" w:hAnsiTheme="minorHAnsi"/>
          <w:bCs/>
          <w:sz w:val="22"/>
          <w:szCs w:val="22"/>
        </w:rPr>
        <w:t xml:space="preserve">Implementation of Section 309(j) of the Communications Act – Competitive Bidding,  37.0-38.6 GHz and 38.6-40.0 GHz Bands -- PP Docket No. 93-253 </w:t>
      </w:r>
    </w:p>
    <w:p w:rsidR="007C3AB1" w:rsidRPr="00704A4F" w:rsidRDefault="007C3AB1" w:rsidP="007C3AB1">
      <w:pPr>
        <w:pStyle w:val="Default"/>
        <w:rPr>
          <w:rFonts w:asciiTheme="minorHAnsi" w:hAnsiTheme="minorHAnsi"/>
          <w:sz w:val="22"/>
          <w:szCs w:val="22"/>
        </w:rPr>
      </w:pPr>
    </w:p>
    <w:p w:rsidR="007C3AB1" w:rsidRPr="00704A4F" w:rsidRDefault="007C3AB1" w:rsidP="007C3AB1">
      <w:pPr>
        <w:pStyle w:val="Default"/>
        <w:numPr>
          <w:ilvl w:val="0"/>
          <w:numId w:val="2"/>
        </w:numPr>
        <w:rPr>
          <w:rFonts w:asciiTheme="minorHAnsi" w:hAnsiTheme="minorHAnsi"/>
          <w:sz w:val="22"/>
          <w:szCs w:val="22"/>
        </w:rPr>
      </w:pPr>
      <w:r w:rsidRPr="00704A4F">
        <w:rPr>
          <w:rFonts w:asciiTheme="minorHAnsi" w:hAnsiTheme="minorHAnsi"/>
          <w:bCs/>
          <w:sz w:val="22"/>
          <w:szCs w:val="22"/>
        </w:rPr>
        <w:t xml:space="preserve">Petition for Rulemaking of the Fixed Wireless Communications Coalition to Create Service Rules For the 42.3-43.5 GHz Band -- RM-11664 </w:t>
      </w:r>
    </w:p>
    <w:p w:rsidR="007C3AB1" w:rsidRPr="00704A4F" w:rsidRDefault="007C3AB1" w:rsidP="007C3AB1">
      <w:pPr>
        <w:pStyle w:val="Default"/>
        <w:rPr>
          <w:rFonts w:asciiTheme="minorHAnsi" w:hAnsiTheme="minorHAnsi"/>
          <w:sz w:val="22"/>
          <w:szCs w:val="22"/>
        </w:rPr>
      </w:pPr>
    </w:p>
    <w:p w:rsidR="007C3AB1" w:rsidRPr="00704A4F" w:rsidRDefault="007C3AB1" w:rsidP="007C3AB1">
      <w:pPr>
        <w:pStyle w:val="Default"/>
        <w:rPr>
          <w:rFonts w:asciiTheme="minorHAnsi" w:hAnsiTheme="minorHAnsi"/>
          <w:sz w:val="22"/>
          <w:szCs w:val="22"/>
        </w:rPr>
      </w:pPr>
      <w:r w:rsidRPr="00704A4F">
        <w:rPr>
          <w:rFonts w:asciiTheme="minorHAnsi" w:hAnsiTheme="minorHAnsi"/>
          <w:sz w:val="22"/>
          <w:szCs w:val="22"/>
        </w:rPr>
        <w:t>Other filings:</w:t>
      </w:r>
    </w:p>
    <w:p w:rsidR="007C3AB1" w:rsidRPr="00704A4F" w:rsidRDefault="007C3AB1" w:rsidP="007C3AB1">
      <w:pPr>
        <w:pStyle w:val="Default"/>
        <w:ind w:left="720"/>
        <w:rPr>
          <w:rFonts w:asciiTheme="minorHAnsi" w:hAnsiTheme="minorHAnsi"/>
          <w:sz w:val="22"/>
          <w:szCs w:val="22"/>
        </w:rPr>
      </w:pPr>
    </w:p>
    <w:p w:rsidR="007C3AB1" w:rsidRPr="00704A4F" w:rsidRDefault="007C3AB1" w:rsidP="007C3AB1">
      <w:pPr>
        <w:pStyle w:val="ListParagraph"/>
        <w:numPr>
          <w:ilvl w:val="0"/>
          <w:numId w:val="2"/>
        </w:numPr>
        <w:spacing w:line="276" w:lineRule="auto"/>
        <w:rPr>
          <w:rFonts w:asciiTheme="minorHAnsi" w:eastAsia="Calibri" w:hAnsiTheme="minorHAnsi"/>
          <w:sz w:val="22"/>
          <w:szCs w:val="22"/>
        </w:rPr>
      </w:pPr>
      <w:r w:rsidRPr="00704A4F">
        <w:rPr>
          <w:rFonts w:asciiTheme="minorHAnsi" w:eastAsia="Calibri" w:hAnsiTheme="minorHAnsi"/>
          <w:sz w:val="22"/>
          <w:szCs w:val="22"/>
        </w:rPr>
        <w:t>Recommendations Approved by the Advisory Committee for the 2015 World Radiocommunication Conference -- IB Docket No. 04-286 [ODV:23828]</w:t>
      </w:r>
    </w:p>
    <w:p w:rsidR="007C3AB1" w:rsidRPr="00704A4F" w:rsidRDefault="007C3AB1" w:rsidP="007C3AB1">
      <w:pPr>
        <w:spacing w:after="0" w:line="276" w:lineRule="auto"/>
        <w:rPr>
          <w:rFonts w:eastAsia="Calibri"/>
        </w:rPr>
      </w:pPr>
    </w:p>
    <w:p w:rsidR="007C3AB1" w:rsidRPr="00704A4F" w:rsidRDefault="007C3AB1" w:rsidP="007C3AB1">
      <w:pPr>
        <w:pStyle w:val="ListParagraph"/>
        <w:numPr>
          <w:ilvl w:val="0"/>
          <w:numId w:val="2"/>
        </w:numPr>
        <w:spacing w:line="276" w:lineRule="auto"/>
        <w:rPr>
          <w:rFonts w:asciiTheme="minorHAnsi" w:eastAsia="Calibri" w:hAnsiTheme="minorHAnsi"/>
          <w:sz w:val="22"/>
          <w:szCs w:val="22"/>
        </w:rPr>
      </w:pPr>
      <w:r w:rsidRPr="00704A4F">
        <w:rPr>
          <w:rFonts w:asciiTheme="minorHAnsi" w:eastAsia="Calibri" w:hAnsiTheme="minorHAnsi"/>
          <w:sz w:val="22"/>
          <w:szCs w:val="22"/>
        </w:rPr>
        <w:t>Vehicular Radar at 77-81 GHz -- ET Docket 15-26 [ODV:24153]</w:t>
      </w:r>
    </w:p>
    <w:p w:rsidR="007C3AB1" w:rsidRPr="00704A4F" w:rsidRDefault="007C3AB1" w:rsidP="007C3AB1">
      <w:pPr>
        <w:pStyle w:val="ListParagraph"/>
        <w:rPr>
          <w:rFonts w:asciiTheme="minorHAnsi" w:eastAsia="Calibri" w:hAnsiTheme="minorHAnsi"/>
          <w:sz w:val="22"/>
          <w:szCs w:val="22"/>
        </w:rPr>
      </w:pPr>
    </w:p>
    <w:p w:rsidR="007C3AB1" w:rsidRPr="00704A4F" w:rsidRDefault="007C3AB1" w:rsidP="007C3AB1">
      <w:pPr>
        <w:pStyle w:val="ListParagraph"/>
        <w:numPr>
          <w:ilvl w:val="0"/>
          <w:numId w:val="2"/>
        </w:numPr>
        <w:spacing w:line="276" w:lineRule="auto"/>
        <w:rPr>
          <w:rFonts w:asciiTheme="minorHAnsi" w:eastAsia="Calibri" w:hAnsiTheme="minorHAnsi"/>
          <w:sz w:val="22"/>
          <w:szCs w:val="22"/>
        </w:rPr>
      </w:pPr>
      <w:r w:rsidRPr="00704A4F">
        <w:rPr>
          <w:rFonts w:asciiTheme="minorHAnsi" w:eastAsia="Calibri" w:hAnsiTheme="minorHAnsi"/>
          <w:sz w:val="22"/>
          <w:szCs w:val="22"/>
        </w:rPr>
        <w:t>Reply Comments, vehicular radar at 77-81 GHz – ET Docket 15-26 [ODV:24193]</w:t>
      </w:r>
    </w:p>
    <w:p w:rsidR="007C3AB1" w:rsidRPr="00704A4F" w:rsidRDefault="007C3AB1" w:rsidP="007C3AB1">
      <w:pPr>
        <w:pStyle w:val="ListParagraph"/>
        <w:rPr>
          <w:rFonts w:asciiTheme="minorHAnsi" w:eastAsia="Calibri" w:hAnsiTheme="minorHAnsi"/>
          <w:sz w:val="22"/>
          <w:szCs w:val="22"/>
        </w:rPr>
      </w:pPr>
    </w:p>
    <w:p w:rsidR="007C3AB1" w:rsidRPr="00704A4F" w:rsidRDefault="007C3AB1" w:rsidP="007C3AB1">
      <w:pPr>
        <w:pStyle w:val="ListParagraph"/>
        <w:numPr>
          <w:ilvl w:val="0"/>
          <w:numId w:val="2"/>
        </w:numPr>
        <w:spacing w:line="276" w:lineRule="auto"/>
        <w:rPr>
          <w:rFonts w:asciiTheme="minorHAnsi" w:eastAsia="Calibri" w:hAnsiTheme="minorHAnsi"/>
          <w:sz w:val="22"/>
          <w:szCs w:val="22"/>
        </w:rPr>
      </w:pPr>
      <w:r w:rsidRPr="00704A4F">
        <w:rPr>
          <w:rFonts w:asciiTheme="minorHAnsi" w:eastAsia="Calibri" w:hAnsiTheme="minorHAnsi"/>
          <w:sz w:val="22"/>
          <w:szCs w:val="22"/>
        </w:rPr>
        <w:t>Proposed deletion of historical license data from FCC ULS database -- FCC Docket 15-81 [ODV:24355]</w:t>
      </w:r>
    </w:p>
    <w:p w:rsidR="007C3AB1" w:rsidRPr="00704A4F" w:rsidRDefault="007C3AB1" w:rsidP="007C3AB1">
      <w:pPr>
        <w:pStyle w:val="ListParagraph"/>
        <w:rPr>
          <w:rFonts w:asciiTheme="minorHAnsi" w:eastAsia="Calibri" w:hAnsiTheme="minorHAnsi"/>
          <w:sz w:val="22"/>
          <w:szCs w:val="22"/>
        </w:rPr>
      </w:pPr>
    </w:p>
    <w:p w:rsidR="007C3AB1" w:rsidRPr="00704A4F" w:rsidRDefault="007C3AB1" w:rsidP="007C3AB1">
      <w:pPr>
        <w:pStyle w:val="ListParagraph"/>
        <w:numPr>
          <w:ilvl w:val="0"/>
          <w:numId w:val="2"/>
        </w:numPr>
        <w:spacing w:line="276" w:lineRule="auto"/>
        <w:rPr>
          <w:rFonts w:asciiTheme="minorHAnsi" w:eastAsia="Calibri" w:hAnsiTheme="minorHAnsi"/>
          <w:sz w:val="22"/>
          <w:szCs w:val="22"/>
        </w:rPr>
      </w:pPr>
      <w:r w:rsidRPr="00704A4F">
        <w:rPr>
          <w:rFonts w:asciiTheme="minorHAnsi" w:hAnsiTheme="minorHAnsi" w:cs="Arial"/>
          <w:sz w:val="22"/>
          <w:szCs w:val="22"/>
        </w:rPr>
        <w:t>FCC Docket 15-99, implementing the Final Acts of WRC-07 [ODV:24643]</w:t>
      </w:r>
    </w:p>
    <w:p w:rsidR="007C3AB1" w:rsidRPr="00704A4F" w:rsidRDefault="007C3AB1" w:rsidP="007C3AB1">
      <w:pPr>
        <w:pStyle w:val="ListParagraph"/>
        <w:rPr>
          <w:rFonts w:asciiTheme="minorHAnsi" w:eastAsia="Calibri" w:hAnsiTheme="minorHAnsi"/>
          <w:sz w:val="22"/>
          <w:szCs w:val="22"/>
        </w:rPr>
      </w:pPr>
    </w:p>
    <w:p w:rsidR="007C3AB1" w:rsidRPr="00704A4F" w:rsidRDefault="007C3AB1" w:rsidP="007C3AB1">
      <w:pPr>
        <w:pStyle w:val="ListParagraph"/>
        <w:numPr>
          <w:ilvl w:val="0"/>
          <w:numId w:val="2"/>
        </w:numPr>
        <w:spacing w:line="276" w:lineRule="auto"/>
        <w:rPr>
          <w:rFonts w:asciiTheme="minorHAnsi" w:eastAsia="Calibri" w:hAnsiTheme="minorHAnsi"/>
          <w:sz w:val="22"/>
          <w:szCs w:val="22"/>
        </w:rPr>
      </w:pPr>
      <w:r w:rsidRPr="00704A4F">
        <w:rPr>
          <w:rFonts w:asciiTheme="minorHAnsi" w:eastAsia="Calibri" w:hAnsiTheme="minorHAnsi"/>
          <w:sz w:val="22"/>
          <w:szCs w:val="22"/>
        </w:rPr>
        <w:t>Reply Comments – ET Dockets 12-338 and 15-99, Final Acts of WRC 2007 and 2012, and related ARRL petition, LF and MF Bands at 2200 and 630 [ODV:24709]</w:t>
      </w:r>
    </w:p>
    <w:p w:rsidR="00AE2F8C" w:rsidRDefault="00AE2F8C" w:rsidP="00AE2F8C">
      <w:pPr>
        <w:pStyle w:val="ListParagraph"/>
        <w:ind w:left="0"/>
        <w:rPr>
          <w:rFonts w:asciiTheme="minorHAnsi" w:eastAsia="Calibri" w:hAnsiTheme="minorHAnsi"/>
          <w:sz w:val="22"/>
          <w:szCs w:val="22"/>
        </w:rPr>
      </w:pPr>
    </w:p>
    <w:p w:rsidR="00AE2F8C" w:rsidRPr="00AE2F8C" w:rsidRDefault="00AE2F8C" w:rsidP="00AE2F8C">
      <w:pPr>
        <w:pStyle w:val="ListParagraph"/>
        <w:ind w:left="0"/>
        <w:rPr>
          <w:rFonts w:asciiTheme="minorHAnsi" w:eastAsia="Calibri" w:hAnsiTheme="minorHAnsi"/>
          <w:sz w:val="22"/>
          <w:szCs w:val="22"/>
        </w:rPr>
      </w:pPr>
      <w:r>
        <w:rPr>
          <w:rFonts w:asciiTheme="minorHAnsi" w:eastAsia="Calibri" w:hAnsiTheme="minorHAnsi"/>
          <w:sz w:val="22"/>
          <w:szCs w:val="22"/>
        </w:rPr>
        <w:t>As this report is being written, the committee is reviewing a draft petition responsive to Minute 32 of the July Board meeting concerning the 80 meter band plan and changed privileges for Novice and Technician operators. It is hoped that this petition can be filed before the January meeting.</w:t>
      </w:r>
    </w:p>
    <w:p w:rsidR="00AE2F8C" w:rsidRPr="00704A4F" w:rsidRDefault="00AE2F8C" w:rsidP="00AE2F8C">
      <w:pPr>
        <w:pStyle w:val="ListParagraph"/>
        <w:ind w:left="0"/>
        <w:rPr>
          <w:rFonts w:eastAsia="Calibri"/>
          <w:sz w:val="22"/>
          <w:szCs w:val="22"/>
        </w:rPr>
      </w:pPr>
    </w:p>
    <w:p w:rsidR="007C3AB1" w:rsidRPr="00704A4F" w:rsidRDefault="00C368DB" w:rsidP="007C3AB1">
      <w:pPr>
        <w:spacing w:line="276" w:lineRule="auto"/>
        <w:rPr>
          <w:rFonts w:eastAsia="Calibri"/>
        </w:rPr>
      </w:pPr>
      <w:r w:rsidRPr="00704A4F">
        <w:rPr>
          <w:rFonts w:eastAsia="Calibri"/>
        </w:rPr>
        <w:t xml:space="preserve">Because this is my final report </w:t>
      </w:r>
      <w:r w:rsidR="00575DF3" w:rsidRPr="00704A4F">
        <w:rPr>
          <w:rFonts w:eastAsia="Calibri"/>
        </w:rPr>
        <w:t xml:space="preserve">not only </w:t>
      </w:r>
      <w:r w:rsidRPr="00704A4F">
        <w:rPr>
          <w:rFonts w:eastAsia="Calibri"/>
        </w:rPr>
        <w:t xml:space="preserve">on behalf of the 2015 Executive Committee but </w:t>
      </w:r>
      <w:r w:rsidR="00575DF3" w:rsidRPr="00704A4F">
        <w:rPr>
          <w:rFonts w:eastAsia="Calibri"/>
        </w:rPr>
        <w:t>also my final action</w:t>
      </w:r>
      <w:r w:rsidRPr="00704A4F">
        <w:rPr>
          <w:rFonts w:eastAsia="Calibri"/>
        </w:rPr>
        <w:t xml:space="preserve"> as a member of the Executive Committee</w:t>
      </w:r>
      <w:r w:rsidR="00575DF3" w:rsidRPr="00704A4F">
        <w:rPr>
          <w:rFonts w:eastAsia="Calibri"/>
        </w:rPr>
        <w:t xml:space="preserve"> in any capacity</w:t>
      </w:r>
      <w:r w:rsidR="006743DE">
        <w:rPr>
          <w:rFonts w:eastAsia="Calibri"/>
        </w:rPr>
        <w:t xml:space="preserve">, I would like to commend </w:t>
      </w:r>
      <w:r w:rsidRPr="00704A4F">
        <w:rPr>
          <w:rFonts w:eastAsia="Calibri"/>
        </w:rPr>
        <w:t xml:space="preserve">this year’s group </w:t>
      </w:r>
      <w:r w:rsidR="00C436B7">
        <w:rPr>
          <w:rFonts w:eastAsia="Calibri"/>
        </w:rPr>
        <w:t xml:space="preserve">and </w:t>
      </w:r>
      <w:r w:rsidRPr="00704A4F">
        <w:rPr>
          <w:rFonts w:eastAsia="Calibri"/>
        </w:rPr>
        <w:t xml:space="preserve">all the </w:t>
      </w:r>
      <w:r w:rsidR="00C436B7">
        <w:rPr>
          <w:rFonts w:eastAsia="Calibri"/>
        </w:rPr>
        <w:t xml:space="preserve">Directors and Officers </w:t>
      </w:r>
      <w:r w:rsidRPr="00704A4F">
        <w:rPr>
          <w:rFonts w:eastAsia="Calibri"/>
        </w:rPr>
        <w:t>with whom I have served on the EC as Director (1997-1999), First Vice President (2006-2009), and President (2010-2015). I am certain that the future members of the EC will co</w:t>
      </w:r>
      <w:r w:rsidR="00575DF3" w:rsidRPr="00704A4F">
        <w:rPr>
          <w:rFonts w:eastAsia="Calibri"/>
        </w:rPr>
        <w:t>ntinue to serve the Board as diligently as the ones with whom I had the privilege to work in the past.</w:t>
      </w:r>
    </w:p>
    <w:p w:rsidR="00575DF3" w:rsidRPr="00704A4F" w:rsidRDefault="00575DF3" w:rsidP="007C3AB1">
      <w:pPr>
        <w:spacing w:line="276" w:lineRule="auto"/>
        <w:rPr>
          <w:rFonts w:eastAsia="Calibri"/>
        </w:rPr>
      </w:pPr>
      <w:r w:rsidRPr="00704A4F">
        <w:rPr>
          <w:rFonts w:eastAsia="Calibri"/>
        </w:rPr>
        <w:t>Respectfully submitted,</w:t>
      </w:r>
    </w:p>
    <w:p w:rsidR="00575DF3" w:rsidRPr="00704A4F" w:rsidRDefault="00575DF3" w:rsidP="007C3AB1">
      <w:pPr>
        <w:spacing w:line="276" w:lineRule="auto"/>
        <w:rPr>
          <w:rFonts w:eastAsia="Calibri"/>
        </w:rPr>
      </w:pPr>
      <w:r w:rsidRPr="00704A4F">
        <w:rPr>
          <w:rFonts w:eastAsia="Calibri"/>
        </w:rPr>
        <w:t>Kay Craigie N3KN</w:t>
      </w:r>
    </w:p>
    <w:p w:rsidR="007C3AB1" w:rsidRDefault="00575DF3" w:rsidP="006743DE">
      <w:pPr>
        <w:spacing w:line="276" w:lineRule="auto"/>
      </w:pPr>
      <w:r w:rsidRPr="00704A4F">
        <w:rPr>
          <w:rFonts w:eastAsia="Calibri"/>
        </w:rPr>
        <w:t>President</w:t>
      </w:r>
      <w:bookmarkStart w:id="0" w:name="_GoBack"/>
      <w:bookmarkEnd w:id="0"/>
    </w:p>
    <w:sectPr w:rsidR="007C3A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46092E"/>
    <w:multiLevelType w:val="hybridMultilevel"/>
    <w:tmpl w:val="CBD43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4485256"/>
    <w:multiLevelType w:val="hybridMultilevel"/>
    <w:tmpl w:val="5E88F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228"/>
    <w:rsid w:val="00191228"/>
    <w:rsid w:val="00575DF3"/>
    <w:rsid w:val="00634367"/>
    <w:rsid w:val="006743DE"/>
    <w:rsid w:val="00704A4F"/>
    <w:rsid w:val="007C3AB1"/>
    <w:rsid w:val="00842F3A"/>
    <w:rsid w:val="00A5264C"/>
    <w:rsid w:val="00AE2F8C"/>
    <w:rsid w:val="00B75745"/>
    <w:rsid w:val="00C368DB"/>
    <w:rsid w:val="00C436B7"/>
    <w:rsid w:val="00C546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481679-9240-4880-8142-5BBAE6759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1228"/>
    <w:pPr>
      <w:spacing w:after="0" w:line="240" w:lineRule="auto"/>
      <w:ind w:left="720"/>
      <w:contextualSpacing/>
    </w:pPr>
    <w:rPr>
      <w:rFonts w:ascii="Times New Roman" w:eastAsia="Times New Roman" w:hAnsi="Times New Roman" w:cs="Times New Roman"/>
      <w:sz w:val="24"/>
      <w:szCs w:val="24"/>
    </w:rPr>
  </w:style>
  <w:style w:type="paragraph" w:customStyle="1" w:styleId="Default">
    <w:name w:val="Default"/>
    <w:rsid w:val="007C3AB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777</Words>
  <Characters>4435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 Craigie</dc:creator>
  <cp:keywords/>
  <dc:description/>
  <cp:lastModifiedBy>Kay Craigie</cp:lastModifiedBy>
  <cp:revision>7</cp:revision>
  <dcterms:created xsi:type="dcterms:W3CDTF">2015-12-29T14:45:00Z</dcterms:created>
  <dcterms:modified xsi:type="dcterms:W3CDTF">2016-01-07T14:58:00Z</dcterms:modified>
</cp:coreProperties>
</file>