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03" w:rsidRDefault="001235FC" w:rsidP="00875403">
      <w:pPr>
        <w:pStyle w:val="Title"/>
      </w:pPr>
      <w:r>
        <w:t xml:space="preserve">IT Project Status — </w:t>
      </w:r>
      <w:r w:rsidR="007F73ED">
        <w:t>January</w:t>
      </w:r>
      <w:r w:rsidR="00B71407">
        <w:t xml:space="preserve"> 2016</w:t>
      </w:r>
    </w:p>
    <w:p w:rsidR="00875403" w:rsidRDefault="00875403" w:rsidP="00875403">
      <w:pPr>
        <w:pStyle w:val="Heading1"/>
      </w:pPr>
      <w:r>
        <w:t>Report to the Adminis</w:t>
      </w:r>
      <w:r w:rsidR="006B69D9">
        <w:t xml:space="preserve">tration &amp; Finance Committee of </w:t>
      </w:r>
      <w:r>
        <w:t>the ARRL Board of Directors</w:t>
      </w:r>
    </w:p>
    <w:p w:rsidR="00875403" w:rsidRDefault="00875403" w:rsidP="00875403"/>
    <w:p w:rsidR="00875403" w:rsidRDefault="007F73ED" w:rsidP="002135FB">
      <w:pPr>
        <w:jc w:val="both"/>
      </w:pPr>
      <w:r>
        <w:t xml:space="preserve">As of the </w:t>
      </w:r>
      <w:r w:rsidR="00CB06B9">
        <w:t>start</w:t>
      </w:r>
      <w:r>
        <w:t xml:space="preserve"> of 2016, t</w:t>
      </w:r>
      <w:r w:rsidR="00875403">
        <w:t xml:space="preserve">he status of the IT projects identified in the ARRL </w:t>
      </w:r>
      <w:r>
        <w:t>2015</w:t>
      </w:r>
      <w:r w:rsidR="00B36067">
        <w:t>-2016</w:t>
      </w:r>
      <w:r>
        <w:t xml:space="preserve"> &amp; 2016</w:t>
      </w:r>
      <w:r w:rsidR="00B36067">
        <w:t>-2017</w:t>
      </w:r>
      <w:r>
        <w:t xml:space="preserve"> </w:t>
      </w:r>
      <w:r w:rsidR="00A6787C">
        <w:t>Plan</w:t>
      </w:r>
      <w:r>
        <w:t>s</w:t>
      </w:r>
      <w:r w:rsidR="00911008">
        <w:t xml:space="preserve"> are</w:t>
      </w:r>
      <w:r w:rsidR="00A6787C">
        <w:t xml:space="preserve"> summarized in Table 1</w:t>
      </w:r>
      <w:r w:rsidR="00875403">
        <w:t xml:space="preserve"> (below).</w:t>
      </w:r>
    </w:p>
    <w:p w:rsidR="00875403" w:rsidRDefault="00875403" w:rsidP="002135FB">
      <w:pPr>
        <w:jc w:val="both"/>
      </w:pPr>
      <w:r>
        <w:t xml:space="preserve">During </w:t>
      </w:r>
      <w:r w:rsidR="00911008">
        <w:t xml:space="preserve">the </w:t>
      </w:r>
      <w:r w:rsidR="007F73ED">
        <w:t>fourth</w:t>
      </w:r>
      <w:r w:rsidR="00075B9A">
        <w:t xml:space="preserve"> quarter of 2015</w:t>
      </w:r>
      <w:r>
        <w:t xml:space="preserve">, </w:t>
      </w:r>
      <w:r w:rsidR="00FF05D7">
        <w:t xml:space="preserve">web applications </w:t>
      </w:r>
      <w:r>
        <w:t xml:space="preserve">software development efforts were directed towards </w:t>
      </w:r>
      <w:r w:rsidR="006819B4">
        <w:t>projects identified</w:t>
      </w:r>
      <w:r>
        <w:t xml:space="preserve"> </w:t>
      </w:r>
      <w:r w:rsidR="007F73ED">
        <w:t xml:space="preserve">in the ARRL 2015 </w:t>
      </w:r>
      <w:r w:rsidR="00E60651">
        <w:t xml:space="preserve">Plan </w:t>
      </w:r>
      <w:r>
        <w:t xml:space="preserve">as being </w:t>
      </w:r>
      <w:r w:rsidR="00375ADA">
        <w:t xml:space="preserve">of </w:t>
      </w:r>
      <w:r>
        <w:t xml:space="preserve">high priority, specifically: </w:t>
      </w:r>
    </w:p>
    <w:p w:rsidR="00075B9A" w:rsidRDefault="007F73ED" w:rsidP="00891BC3">
      <w:pPr>
        <w:pStyle w:val="ListParagraph"/>
        <w:numPr>
          <w:ilvl w:val="0"/>
          <w:numId w:val="4"/>
        </w:numPr>
        <w:contextualSpacing/>
        <w:rPr>
          <w:i/>
        </w:rPr>
      </w:pPr>
      <w:r>
        <w:rPr>
          <w:i/>
        </w:rPr>
        <w:t xml:space="preserve">Logbook of the World support for the </w:t>
      </w:r>
      <w:r w:rsidR="00891BC3">
        <w:rPr>
          <w:i/>
        </w:rPr>
        <w:t>National</w:t>
      </w:r>
      <w:r w:rsidR="00635B42">
        <w:rPr>
          <w:i/>
        </w:rPr>
        <w:t xml:space="preserve"> Parks on the Air Event</w:t>
      </w:r>
    </w:p>
    <w:p w:rsidR="00891BC3" w:rsidRDefault="007F73ED" w:rsidP="008D5FE4">
      <w:pPr>
        <w:ind w:left="720"/>
        <w:contextualSpacing/>
        <w:jc w:val="both"/>
      </w:pPr>
      <w:r>
        <w:t>Supported test and release by Trusted QSL of a new version (2.2) of TQSL</w:t>
      </w:r>
      <w:r w:rsidR="00635B42">
        <w:t>,</w:t>
      </w:r>
      <w:r>
        <w:t xml:space="preserve"> the </w:t>
      </w:r>
      <w:proofErr w:type="spellStart"/>
      <w:r>
        <w:t>LoTW</w:t>
      </w:r>
      <w:proofErr w:type="spellEnd"/>
      <w:r>
        <w:t xml:space="preserve"> client-side application. </w:t>
      </w:r>
    </w:p>
    <w:p w:rsidR="00635B42" w:rsidRDefault="00635B42" w:rsidP="008D5FE4">
      <w:pPr>
        <w:ind w:left="720"/>
        <w:contextualSpacing/>
        <w:jc w:val="both"/>
      </w:pPr>
    </w:p>
    <w:p w:rsidR="00635B42" w:rsidRDefault="00635B42" w:rsidP="008D5FE4">
      <w:pPr>
        <w:ind w:left="720"/>
        <w:contextualSpacing/>
        <w:jc w:val="both"/>
      </w:pPr>
      <w:r>
        <w:t xml:space="preserve">Coded, tested and deployed enhancements to </w:t>
      </w:r>
      <w:proofErr w:type="spellStart"/>
      <w:r>
        <w:t>LoTW</w:t>
      </w:r>
      <w:proofErr w:type="spellEnd"/>
      <w:r>
        <w:t xml:space="preserve"> in order to support </w:t>
      </w:r>
      <w:proofErr w:type="spellStart"/>
      <w:r>
        <w:t>NPotA</w:t>
      </w:r>
      <w:proofErr w:type="spellEnd"/>
      <w:r>
        <w:t xml:space="preserve"> event</w:t>
      </w:r>
    </w:p>
    <w:p w:rsidR="00075B9A" w:rsidRDefault="00075B9A" w:rsidP="00075B9A">
      <w:pPr>
        <w:pStyle w:val="ListParagraph"/>
        <w:numPr>
          <w:ilvl w:val="0"/>
          <w:numId w:val="4"/>
        </w:numPr>
        <w:contextualSpacing/>
        <w:jc w:val="both"/>
        <w:rPr>
          <w:i/>
        </w:rPr>
      </w:pPr>
      <w:r w:rsidRPr="002135FB">
        <w:rPr>
          <w:i/>
        </w:rPr>
        <w:t>AIS Membership &amp; Subscriptions Module</w:t>
      </w:r>
    </w:p>
    <w:p w:rsidR="00075B9A" w:rsidRDefault="00075B9A" w:rsidP="00075B9A">
      <w:pPr>
        <w:ind w:left="750"/>
        <w:contextualSpacing/>
        <w:jc w:val="both"/>
      </w:pPr>
      <w:r>
        <w:t>Continue conceptual design and requirements collection from stakeholders.</w:t>
      </w:r>
    </w:p>
    <w:p w:rsidR="005D343D" w:rsidRDefault="005D343D" w:rsidP="005D343D">
      <w:pPr>
        <w:pStyle w:val="ListParagraph"/>
        <w:numPr>
          <w:ilvl w:val="0"/>
          <w:numId w:val="4"/>
        </w:numPr>
        <w:contextualSpacing/>
        <w:jc w:val="both"/>
        <w:rPr>
          <w:i/>
        </w:rPr>
      </w:pPr>
      <w:r>
        <w:rPr>
          <w:i/>
        </w:rPr>
        <w:t>Field Service Reporting</w:t>
      </w:r>
    </w:p>
    <w:p w:rsidR="005D343D" w:rsidRPr="002135FB" w:rsidRDefault="005D343D" w:rsidP="005D343D">
      <w:pPr>
        <w:pStyle w:val="ListParagraph"/>
        <w:ind w:left="750"/>
        <w:contextualSpacing/>
        <w:jc w:val="both"/>
        <w:rPr>
          <w:i/>
        </w:rPr>
      </w:pPr>
    </w:p>
    <w:p w:rsidR="005D343D" w:rsidRDefault="007F73ED" w:rsidP="005D343D">
      <w:pPr>
        <w:pStyle w:val="ListParagraph"/>
        <w:ind w:left="750"/>
        <w:contextualSpacing/>
        <w:jc w:val="both"/>
      </w:pPr>
      <w:r>
        <w:t>Te</w:t>
      </w:r>
      <w:r w:rsidR="00891BC3">
        <w:t xml:space="preserve">sting with the Tennessee Section </w:t>
      </w:r>
      <w:r w:rsidR="005D343D">
        <w:t xml:space="preserve"> </w:t>
      </w:r>
    </w:p>
    <w:p w:rsidR="00891BC3" w:rsidRDefault="00891BC3" w:rsidP="005D343D">
      <w:pPr>
        <w:pStyle w:val="ListParagraph"/>
        <w:ind w:left="750"/>
        <w:contextualSpacing/>
        <w:jc w:val="both"/>
      </w:pPr>
    </w:p>
    <w:p w:rsidR="00891BC3" w:rsidRPr="0090322B" w:rsidRDefault="00891BC3" w:rsidP="00891BC3">
      <w:pPr>
        <w:pStyle w:val="ListParagraph"/>
        <w:numPr>
          <w:ilvl w:val="0"/>
          <w:numId w:val="4"/>
        </w:numPr>
        <w:contextualSpacing/>
        <w:jc w:val="both"/>
        <w:rPr>
          <w:i/>
        </w:rPr>
      </w:pPr>
      <w:r w:rsidRPr="0090322B">
        <w:rPr>
          <w:i/>
        </w:rPr>
        <w:t xml:space="preserve">Education project </w:t>
      </w:r>
    </w:p>
    <w:p w:rsidR="00891BC3" w:rsidRDefault="007F73ED" w:rsidP="00891BC3">
      <w:pPr>
        <w:ind w:left="720"/>
        <w:contextualSpacing/>
        <w:jc w:val="both"/>
      </w:pPr>
      <w:r>
        <w:t>Continue</w:t>
      </w:r>
      <w:r w:rsidR="0090322B">
        <w:t>d</w:t>
      </w:r>
      <w:r>
        <w:t xml:space="preserve"> </w:t>
      </w:r>
      <w:r w:rsidR="00891BC3">
        <w:t xml:space="preserve">coding. </w:t>
      </w:r>
    </w:p>
    <w:p w:rsidR="005D343D" w:rsidRDefault="005D343D" w:rsidP="002135FB">
      <w:pPr>
        <w:ind w:left="720"/>
        <w:contextualSpacing/>
        <w:jc w:val="both"/>
      </w:pPr>
    </w:p>
    <w:p w:rsidR="0090322B" w:rsidRDefault="0090322B" w:rsidP="0090322B">
      <w:pPr>
        <w:pStyle w:val="ListParagraph"/>
        <w:numPr>
          <w:ilvl w:val="0"/>
          <w:numId w:val="4"/>
        </w:numPr>
        <w:contextualSpacing/>
        <w:rPr>
          <w:i/>
        </w:rPr>
      </w:pPr>
      <w:r>
        <w:rPr>
          <w:i/>
        </w:rPr>
        <w:t xml:space="preserve">Ads on Logbook of the World Web Pages </w:t>
      </w:r>
    </w:p>
    <w:p w:rsidR="0090322B" w:rsidRDefault="0090322B" w:rsidP="0090322B">
      <w:pPr>
        <w:ind w:left="720"/>
        <w:contextualSpacing/>
        <w:jc w:val="both"/>
      </w:pPr>
      <w:r>
        <w:t xml:space="preserve">Modified design of </w:t>
      </w:r>
      <w:proofErr w:type="spellStart"/>
      <w:r>
        <w:t>LoTW</w:t>
      </w:r>
      <w:proofErr w:type="spellEnd"/>
      <w:r>
        <w:t xml:space="preserve"> pages to accommodate ads. </w:t>
      </w:r>
    </w:p>
    <w:p w:rsidR="0090322B" w:rsidRDefault="0090322B" w:rsidP="002135FB">
      <w:pPr>
        <w:ind w:left="720"/>
        <w:contextualSpacing/>
        <w:jc w:val="both"/>
      </w:pPr>
    </w:p>
    <w:p w:rsidR="001D2560" w:rsidRDefault="001D2560"/>
    <w:p w:rsidR="00635B42" w:rsidRDefault="00635B42"/>
    <w:p w:rsidR="00635B42" w:rsidRDefault="00635B42"/>
    <w:p w:rsidR="00635B42" w:rsidRDefault="00635B42"/>
    <w:p w:rsidR="00875403" w:rsidRDefault="00375ADA" w:rsidP="002135FB">
      <w:pPr>
        <w:jc w:val="both"/>
      </w:pPr>
      <w:r>
        <w:lastRenderedPageBreak/>
        <w:t xml:space="preserve">In the infrastructure (hardware) </w:t>
      </w:r>
      <w:r w:rsidR="00875403">
        <w:t>area, the f</w:t>
      </w:r>
      <w:r w:rsidR="00891BC3">
        <w:t xml:space="preserve">ollowing project continued during </w:t>
      </w:r>
      <w:r w:rsidR="006846E4">
        <w:t xml:space="preserve">the </w:t>
      </w:r>
      <w:r w:rsidR="0090322B">
        <w:t>4</w:t>
      </w:r>
      <w:r w:rsidR="0090322B" w:rsidRPr="0090322B">
        <w:rPr>
          <w:vertAlign w:val="superscript"/>
        </w:rPr>
        <w:t>th</w:t>
      </w:r>
      <w:r w:rsidR="0090322B">
        <w:t xml:space="preserve"> </w:t>
      </w:r>
      <w:r w:rsidR="00D22F27">
        <w:t>quarter</w:t>
      </w:r>
      <w:r w:rsidR="005C7180">
        <w:t xml:space="preserve">: </w:t>
      </w:r>
    </w:p>
    <w:p w:rsidR="00875403" w:rsidRDefault="007F73ED" w:rsidP="00EC14DF">
      <w:pPr>
        <w:pStyle w:val="ListParagraph"/>
        <w:numPr>
          <w:ilvl w:val="0"/>
          <w:numId w:val="6"/>
        </w:numPr>
        <w:spacing w:after="100" w:afterAutospacing="1" w:line="360" w:lineRule="auto"/>
        <w:contextualSpacing/>
        <w:jc w:val="both"/>
      </w:pPr>
      <w:r>
        <w:t xml:space="preserve">Deployment plan for establishing </w:t>
      </w:r>
      <w:r w:rsidR="00891BC3">
        <w:t>perimeter net</w:t>
      </w:r>
      <w:r w:rsidR="00A635A7">
        <w:t>work for externally visible servers (“DMZ”)</w:t>
      </w:r>
      <w:r>
        <w:t xml:space="preserve"> </w:t>
      </w:r>
      <w:r w:rsidR="0090322B">
        <w:t xml:space="preserve">was changed </w:t>
      </w:r>
      <w:r>
        <w:t xml:space="preserve">to avoid any extended downtime of </w:t>
      </w:r>
      <w:r w:rsidR="0090322B">
        <w:t xml:space="preserve">the </w:t>
      </w:r>
      <w:r>
        <w:t xml:space="preserve">web store during holiday shopping season. Current plan is to resume work next weekend (Jan 22/23). </w:t>
      </w:r>
      <w:r w:rsidR="00D90067">
        <w:t xml:space="preserve"> </w:t>
      </w:r>
      <w:r w:rsidR="009817F6">
        <w:t xml:space="preserve"> </w:t>
      </w:r>
    </w:p>
    <w:p w:rsidR="0038251B" w:rsidRDefault="0038251B" w:rsidP="00EC14DF">
      <w:pPr>
        <w:pStyle w:val="ListParagraph"/>
        <w:spacing w:after="100" w:afterAutospacing="1" w:line="360" w:lineRule="auto"/>
        <w:ind w:left="0"/>
        <w:contextualSpacing/>
        <w:jc w:val="both"/>
        <w:rPr>
          <w:sz w:val="36"/>
          <w:szCs w:val="36"/>
        </w:rPr>
        <w:sectPr w:rsidR="0038251B" w:rsidSect="000846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16AC4" w:rsidRDefault="00716AC4" w:rsidP="00976BF3">
      <w:pPr>
        <w:pStyle w:val="Caption"/>
        <w:keepNext/>
        <w:jc w:val="center"/>
        <w:rPr>
          <w:color w:val="auto"/>
          <w:sz w:val="36"/>
          <w:szCs w:val="36"/>
        </w:rPr>
      </w:pPr>
    </w:p>
    <w:p w:rsidR="00976BF3" w:rsidRDefault="00976BF3" w:rsidP="00976BF3">
      <w:pPr>
        <w:pStyle w:val="Caption"/>
        <w:keepNext/>
        <w:jc w:val="center"/>
        <w:rPr>
          <w:color w:val="auto"/>
          <w:sz w:val="36"/>
          <w:szCs w:val="36"/>
        </w:rPr>
      </w:pPr>
      <w:r w:rsidRPr="006B69D9">
        <w:rPr>
          <w:color w:val="auto"/>
          <w:sz w:val="36"/>
          <w:szCs w:val="36"/>
        </w:rPr>
        <w:t xml:space="preserve">Table </w:t>
      </w:r>
      <w:r>
        <w:rPr>
          <w:color w:val="auto"/>
          <w:sz w:val="36"/>
          <w:szCs w:val="36"/>
        </w:rPr>
        <w:t>1 — IT Project Status (</w:t>
      </w:r>
      <w:r w:rsidR="007F73ED">
        <w:rPr>
          <w:color w:val="auto"/>
          <w:sz w:val="36"/>
          <w:szCs w:val="36"/>
        </w:rPr>
        <w:t>January 2016</w:t>
      </w:r>
      <w:r w:rsidRPr="006B69D9">
        <w:rPr>
          <w:color w:val="auto"/>
          <w:sz w:val="36"/>
          <w:szCs w:val="36"/>
        </w:rPr>
        <w:t>)</w:t>
      </w:r>
    </w:p>
    <w:p w:rsidR="00AF2265" w:rsidRPr="006B69D9" w:rsidRDefault="00AF2265" w:rsidP="00AF2265">
      <w:pPr>
        <w:pStyle w:val="Caption"/>
        <w:keepNext/>
        <w:jc w:val="center"/>
        <w:rPr>
          <w:color w:val="auto"/>
          <w:sz w:val="36"/>
          <w:szCs w:val="36"/>
        </w:rPr>
      </w:pPr>
      <w:r w:rsidRPr="006B69D9">
        <w:rPr>
          <w:color w:val="auto"/>
          <w:sz w:val="36"/>
          <w:szCs w:val="36"/>
        </w:rPr>
        <w:t xml:space="preserve">Table </w:t>
      </w:r>
      <w:r>
        <w:rPr>
          <w:color w:val="auto"/>
          <w:sz w:val="36"/>
          <w:szCs w:val="36"/>
        </w:rPr>
        <w:t xml:space="preserve">1a — </w:t>
      </w:r>
      <w:r w:rsidR="006F4D6F">
        <w:rPr>
          <w:color w:val="auto"/>
          <w:sz w:val="36"/>
          <w:szCs w:val="36"/>
        </w:rPr>
        <w:t xml:space="preserve">Web Application </w:t>
      </w:r>
      <w:r>
        <w:rPr>
          <w:color w:val="auto"/>
          <w:sz w:val="36"/>
          <w:szCs w:val="36"/>
        </w:rPr>
        <w:t>Software Development Projects (</w:t>
      </w:r>
      <w:r w:rsidR="007F73ED">
        <w:rPr>
          <w:color w:val="auto"/>
          <w:sz w:val="36"/>
          <w:szCs w:val="36"/>
        </w:rPr>
        <w:t>January 2016</w:t>
      </w:r>
      <w:r w:rsidRPr="006B69D9">
        <w:rPr>
          <w:color w:val="auto"/>
          <w:sz w:val="36"/>
          <w:szCs w:val="36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5"/>
        <w:gridCol w:w="6151"/>
        <w:gridCol w:w="1366"/>
        <w:gridCol w:w="1463"/>
        <w:gridCol w:w="2365"/>
      </w:tblGrid>
      <w:tr w:rsidR="00976BF3" w:rsidRPr="00436514" w:rsidTr="005D343D">
        <w:tc>
          <w:tcPr>
            <w:tcW w:w="620" w:type="pct"/>
            <w:vMerge w:val="restart"/>
            <w:vAlign w:val="center"/>
          </w:tcPr>
          <w:p w:rsidR="00976BF3" w:rsidRPr="00436514" w:rsidRDefault="00976BF3" w:rsidP="00C4774C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Priority</w:t>
            </w:r>
            <w:r w:rsidR="00C477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5" w:type="pct"/>
            <w:vMerge w:val="restart"/>
            <w:vAlign w:val="center"/>
          </w:tcPr>
          <w:p w:rsidR="00976BF3" w:rsidRPr="00436514" w:rsidRDefault="00976BF3" w:rsidP="00AA6D3E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527" w:type="pct"/>
            <w:vMerge w:val="restart"/>
            <w:vAlign w:val="center"/>
          </w:tcPr>
          <w:p w:rsidR="00976BF3" w:rsidRPr="00436514" w:rsidRDefault="00976BF3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</w:t>
            </w:r>
          </w:p>
        </w:tc>
        <w:tc>
          <w:tcPr>
            <w:tcW w:w="1478" w:type="pct"/>
            <w:gridSpan w:val="2"/>
            <w:vAlign w:val="center"/>
          </w:tcPr>
          <w:p w:rsidR="00976BF3" w:rsidRDefault="00976BF3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976BF3" w:rsidRPr="00436514" w:rsidTr="005D343D">
        <w:tc>
          <w:tcPr>
            <w:tcW w:w="620" w:type="pct"/>
            <w:vMerge/>
          </w:tcPr>
          <w:p w:rsidR="00976BF3" w:rsidRPr="00436514" w:rsidRDefault="00976BF3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pct"/>
            <w:vMerge/>
          </w:tcPr>
          <w:p w:rsidR="00976BF3" w:rsidRPr="00436514" w:rsidRDefault="00976BF3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976BF3" w:rsidRDefault="00976BF3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976BF3" w:rsidRPr="00436514" w:rsidRDefault="00976BF3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</w:t>
            </w:r>
          </w:p>
        </w:tc>
        <w:tc>
          <w:tcPr>
            <w:tcW w:w="914" w:type="pct"/>
            <w:vAlign w:val="center"/>
          </w:tcPr>
          <w:p w:rsidR="00976BF3" w:rsidRDefault="00976BF3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ETC — Effort</w:t>
            </w:r>
          </w:p>
          <w:p w:rsidR="00976BF3" w:rsidRPr="00436514" w:rsidRDefault="00976BF3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(person-months)</w:t>
            </w:r>
          </w:p>
        </w:tc>
      </w:tr>
      <w:tr w:rsidR="006F4D6F" w:rsidRPr="00C113D0" w:rsidTr="005D343D">
        <w:tc>
          <w:tcPr>
            <w:tcW w:w="620" w:type="pct"/>
            <w:vAlign w:val="center"/>
          </w:tcPr>
          <w:p w:rsidR="006F4D6F" w:rsidRPr="00C113D0" w:rsidRDefault="00CB06B9" w:rsidP="00AA6D3E">
            <w:pPr>
              <w:jc w:val="center"/>
            </w:pPr>
            <w:r>
              <w:t>High (2015</w:t>
            </w:r>
            <w:r w:rsidR="006F4D6F">
              <w:t>)</w:t>
            </w:r>
          </w:p>
        </w:tc>
        <w:tc>
          <w:tcPr>
            <w:tcW w:w="2375" w:type="pct"/>
            <w:vAlign w:val="center"/>
          </w:tcPr>
          <w:p w:rsidR="006F4D6F" w:rsidRDefault="00CB06B9" w:rsidP="00CB06B9">
            <w:pPr>
              <w:contextualSpacing/>
            </w:pPr>
            <w:r>
              <w:t xml:space="preserve">National Parks on the Air </w:t>
            </w:r>
            <w:r w:rsidR="006F4D6F">
              <w:t>Operating Event</w:t>
            </w:r>
          </w:p>
        </w:tc>
        <w:tc>
          <w:tcPr>
            <w:tcW w:w="527" w:type="pct"/>
            <w:vAlign w:val="center"/>
          </w:tcPr>
          <w:p w:rsidR="006F4D6F" w:rsidRPr="00283FCD" w:rsidRDefault="0047179A" w:rsidP="00AA6D3E">
            <w:pPr>
              <w:jc w:val="center"/>
              <w:rPr>
                <w:color w:val="9BBB59" w:themeColor="accent3"/>
              </w:rPr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5" w:type="pct"/>
            <w:vAlign w:val="center"/>
          </w:tcPr>
          <w:p w:rsidR="006F4D6F" w:rsidRPr="006D0933" w:rsidRDefault="00A635A7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6F4D6F" w:rsidRDefault="00AF2B5A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E21AE2" w:rsidRPr="00C113D0" w:rsidTr="005D343D">
        <w:tc>
          <w:tcPr>
            <w:tcW w:w="620" w:type="pct"/>
            <w:vAlign w:val="center"/>
          </w:tcPr>
          <w:p w:rsidR="006F4D6F" w:rsidRPr="00C025C1" w:rsidRDefault="006F4D6F" w:rsidP="00AF2265">
            <w:pPr>
              <w:jc w:val="center"/>
            </w:pPr>
            <w:r>
              <w:t>High (2013)</w:t>
            </w:r>
          </w:p>
        </w:tc>
        <w:tc>
          <w:tcPr>
            <w:tcW w:w="2375" w:type="pct"/>
            <w:vAlign w:val="center"/>
          </w:tcPr>
          <w:p w:rsidR="006F4D6F" w:rsidRDefault="006F4D6F" w:rsidP="00AF2265">
            <w:pPr>
              <w:contextualSpacing/>
            </w:pPr>
            <w:r>
              <w:t>AIS Affiliated Club Module</w:t>
            </w:r>
          </w:p>
        </w:tc>
        <w:tc>
          <w:tcPr>
            <w:tcW w:w="527" w:type="pct"/>
            <w:vAlign w:val="center"/>
          </w:tcPr>
          <w:p w:rsidR="006F4D6F" w:rsidRDefault="005D343D" w:rsidP="00AF2265">
            <w:pPr>
              <w:jc w:val="center"/>
            </w:pPr>
            <w:r w:rsidRPr="005D343D">
              <w:rPr>
                <w:color w:val="0070C0"/>
              </w:rPr>
              <w:t>Complete</w:t>
            </w:r>
          </w:p>
        </w:tc>
        <w:tc>
          <w:tcPr>
            <w:tcW w:w="565" w:type="pct"/>
            <w:vAlign w:val="center"/>
          </w:tcPr>
          <w:p w:rsidR="006F4D6F" w:rsidRDefault="005D343D" w:rsidP="00AF226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  <w:r w:rsidR="006F4D6F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4" w:type="pct"/>
            <w:vAlign w:val="center"/>
          </w:tcPr>
          <w:p w:rsidR="006F4D6F" w:rsidRDefault="005D343D" w:rsidP="00AF226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D253D2" w:rsidRPr="00C113D0" w:rsidTr="005D343D">
        <w:tc>
          <w:tcPr>
            <w:tcW w:w="620" w:type="pct"/>
            <w:vAlign w:val="center"/>
          </w:tcPr>
          <w:p w:rsidR="00D253D2" w:rsidRDefault="00D253D2" w:rsidP="00AA6D3E">
            <w:pPr>
              <w:jc w:val="center"/>
            </w:pPr>
            <w:r>
              <w:t>High (2014)</w:t>
            </w:r>
          </w:p>
        </w:tc>
        <w:tc>
          <w:tcPr>
            <w:tcW w:w="2375" w:type="pct"/>
            <w:vAlign w:val="center"/>
          </w:tcPr>
          <w:p w:rsidR="00D253D2" w:rsidRDefault="00D253D2" w:rsidP="00AA6D3E">
            <w:pPr>
              <w:contextualSpacing/>
            </w:pPr>
            <w:r>
              <w:t>AIS Advertising Module</w:t>
            </w:r>
          </w:p>
        </w:tc>
        <w:tc>
          <w:tcPr>
            <w:tcW w:w="527" w:type="pct"/>
            <w:vAlign w:val="center"/>
          </w:tcPr>
          <w:p w:rsidR="00D253D2" w:rsidRPr="00F40755" w:rsidRDefault="0047179A" w:rsidP="00A635A7">
            <w:pPr>
              <w:jc w:val="center"/>
              <w:rPr>
                <w:color w:val="FF0000"/>
              </w:rPr>
            </w:pPr>
            <w:r w:rsidRPr="00D22F27">
              <w:rPr>
                <w:color w:val="0070C0"/>
              </w:rPr>
              <w:t>Complete</w:t>
            </w:r>
          </w:p>
        </w:tc>
        <w:tc>
          <w:tcPr>
            <w:tcW w:w="565" w:type="pct"/>
            <w:vAlign w:val="center"/>
          </w:tcPr>
          <w:p w:rsidR="00D253D2" w:rsidRDefault="00F865BE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  <w:r w:rsidR="00D253D2">
              <w:rPr>
                <w:rFonts w:asciiTheme="majorHAnsi" w:hAnsiTheme="majorHAnsi"/>
                <w:sz w:val="18"/>
                <w:szCs w:val="18"/>
              </w:rPr>
              <w:t xml:space="preserve">% </w:t>
            </w:r>
          </w:p>
        </w:tc>
        <w:tc>
          <w:tcPr>
            <w:tcW w:w="914" w:type="pct"/>
            <w:vAlign w:val="center"/>
          </w:tcPr>
          <w:p w:rsidR="00D253D2" w:rsidRDefault="00AF2B5A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06420D" w:rsidRPr="00C113D0" w:rsidTr="005D343D">
        <w:tc>
          <w:tcPr>
            <w:tcW w:w="620" w:type="pct"/>
            <w:vAlign w:val="center"/>
          </w:tcPr>
          <w:p w:rsidR="0006420D" w:rsidRPr="00C113D0" w:rsidRDefault="007523A7" w:rsidP="00AA6D3E">
            <w:pPr>
              <w:jc w:val="center"/>
            </w:pPr>
            <w:r>
              <w:t>High (2016</w:t>
            </w:r>
            <w:r w:rsidR="0006420D">
              <w:t>)</w:t>
            </w:r>
          </w:p>
        </w:tc>
        <w:tc>
          <w:tcPr>
            <w:tcW w:w="2375" w:type="pct"/>
            <w:vAlign w:val="center"/>
          </w:tcPr>
          <w:p w:rsidR="0006420D" w:rsidRDefault="0006420D" w:rsidP="00AA6D3E">
            <w:pPr>
              <w:contextualSpacing/>
            </w:pPr>
            <w:r>
              <w:t>AIS Membership/Subscription/Development Module</w:t>
            </w:r>
          </w:p>
        </w:tc>
        <w:tc>
          <w:tcPr>
            <w:tcW w:w="527" w:type="pct"/>
            <w:vAlign w:val="center"/>
          </w:tcPr>
          <w:p w:rsidR="0006420D" w:rsidRPr="00F40755" w:rsidRDefault="0006420D" w:rsidP="00AA6D3E">
            <w:pPr>
              <w:jc w:val="center"/>
              <w:rPr>
                <w:color w:val="FF0000"/>
              </w:rPr>
            </w:pPr>
            <w:r w:rsidRPr="00F40755">
              <w:rPr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06420D" w:rsidRDefault="005D343D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="0006420D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4" w:type="pct"/>
            <w:vAlign w:val="center"/>
          </w:tcPr>
          <w:p w:rsidR="0006420D" w:rsidRDefault="0006420D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</w:tr>
      <w:tr w:rsidR="006F4D6F" w:rsidRPr="00C113D0" w:rsidTr="005D343D">
        <w:tc>
          <w:tcPr>
            <w:tcW w:w="620" w:type="pct"/>
            <w:vAlign w:val="center"/>
          </w:tcPr>
          <w:p w:rsidR="006F4D6F" w:rsidRPr="00C113D0" w:rsidRDefault="006F4D6F" w:rsidP="00AA6D3E">
            <w:pPr>
              <w:jc w:val="center"/>
            </w:pPr>
            <w:r w:rsidRPr="00C113D0">
              <w:t>High</w:t>
            </w:r>
            <w:r w:rsidR="007523A7">
              <w:t xml:space="preserve"> (2016</w:t>
            </w:r>
            <w:r>
              <w:t>)</w:t>
            </w:r>
          </w:p>
        </w:tc>
        <w:tc>
          <w:tcPr>
            <w:tcW w:w="2375" w:type="pct"/>
            <w:vAlign w:val="center"/>
          </w:tcPr>
          <w:p w:rsidR="006F4D6F" w:rsidRPr="00C113D0" w:rsidRDefault="006F4D6F" w:rsidP="00AA6D3E">
            <w:pPr>
              <w:contextualSpacing/>
            </w:pPr>
            <w:r>
              <w:t xml:space="preserve">AIS Membership — </w:t>
            </w:r>
            <w:r w:rsidRPr="00C113D0">
              <w:t>Web membership application/renewal</w:t>
            </w:r>
          </w:p>
        </w:tc>
        <w:tc>
          <w:tcPr>
            <w:tcW w:w="527" w:type="pct"/>
            <w:vAlign w:val="center"/>
          </w:tcPr>
          <w:p w:rsidR="006F4D6F" w:rsidRDefault="006F4D6F" w:rsidP="00AA6D3E">
            <w:pPr>
              <w:jc w:val="center"/>
            </w:pPr>
            <w:r w:rsidRPr="00F40755">
              <w:rPr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6F4D6F" w:rsidRPr="006D0933" w:rsidRDefault="006F4D6F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5%</w:t>
            </w:r>
          </w:p>
        </w:tc>
        <w:tc>
          <w:tcPr>
            <w:tcW w:w="914" w:type="pct"/>
            <w:vAlign w:val="center"/>
          </w:tcPr>
          <w:p w:rsidR="006F4D6F" w:rsidRPr="006D0933" w:rsidRDefault="006F4D6F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F4D6F" w:rsidRPr="00C113D0" w:rsidTr="005D343D">
        <w:tc>
          <w:tcPr>
            <w:tcW w:w="620" w:type="pct"/>
            <w:vAlign w:val="center"/>
          </w:tcPr>
          <w:p w:rsidR="006F4D6F" w:rsidRPr="00C113D0" w:rsidRDefault="007523A7" w:rsidP="00AA6D3E">
            <w:pPr>
              <w:jc w:val="center"/>
            </w:pPr>
            <w:r>
              <w:t>High (2016</w:t>
            </w:r>
            <w:r w:rsidR="006F4D6F">
              <w:t>)</w:t>
            </w:r>
          </w:p>
        </w:tc>
        <w:tc>
          <w:tcPr>
            <w:tcW w:w="2375" w:type="pct"/>
            <w:vAlign w:val="center"/>
          </w:tcPr>
          <w:p w:rsidR="006F4D6F" w:rsidRPr="00C113D0" w:rsidRDefault="006F4D6F" w:rsidP="00AA6D3E">
            <w:pPr>
              <w:contextualSpacing/>
            </w:pPr>
            <w:r>
              <w:t xml:space="preserve">AIS Membership  — </w:t>
            </w:r>
            <w:r w:rsidRPr="00C113D0">
              <w:t>Automatic renewal of membership</w:t>
            </w:r>
          </w:p>
        </w:tc>
        <w:tc>
          <w:tcPr>
            <w:tcW w:w="527" w:type="pct"/>
            <w:vAlign w:val="center"/>
          </w:tcPr>
          <w:p w:rsidR="006F4D6F" w:rsidRDefault="006F4D6F" w:rsidP="00AA6D3E">
            <w:pPr>
              <w:jc w:val="center"/>
            </w:pPr>
            <w:r w:rsidRPr="00F40755">
              <w:rPr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6F4D6F" w:rsidRPr="006D0933" w:rsidRDefault="006F4D6F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5%</w:t>
            </w:r>
          </w:p>
        </w:tc>
        <w:tc>
          <w:tcPr>
            <w:tcW w:w="914" w:type="pct"/>
            <w:vAlign w:val="center"/>
          </w:tcPr>
          <w:p w:rsidR="006F4D6F" w:rsidRPr="006D0933" w:rsidRDefault="006F4D6F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6F4D6F" w:rsidRPr="00C113D0" w:rsidTr="005D343D">
        <w:tc>
          <w:tcPr>
            <w:tcW w:w="620" w:type="pct"/>
            <w:vAlign w:val="center"/>
          </w:tcPr>
          <w:p w:rsidR="006F4D6F" w:rsidRPr="00C113D0" w:rsidRDefault="007523A7" w:rsidP="00AA6D3E">
            <w:pPr>
              <w:jc w:val="center"/>
            </w:pPr>
            <w:r>
              <w:t>High (2016</w:t>
            </w:r>
            <w:r w:rsidR="006F4D6F">
              <w:t>)</w:t>
            </w:r>
          </w:p>
        </w:tc>
        <w:tc>
          <w:tcPr>
            <w:tcW w:w="2375" w:type="pct"/>
            <w:vAlign w:val="center"/>
          </w:tcPr>
          <w:p w:rsidR="006F4D6F" w:rsidRPr="00C113D0" w:rsidRDefault="006F4D6F" w:rsidP="00AA6D3E">
            <w:pPr>
              <w:contextualSpacing/>
            </w:pPr>
            <w:r>
              <w:t xml:space="preserve">AIS </w:t>
            </w:r>
            <w:r w:rsidRPr="00C113D0">
              <w:t xml:space="preserve">Membership </w:t>
            </w:r>
            <w:r>
              <w:t>— A</w:t>
            </w:r>
            <w:r w:rsidRPr="00C113D0">
              <w:t>ccount management</w:t>
            </w:r>
          </w:p>
        </w:tc>
        <w:tc>
          <w:tcPr>
            <w:tcW w:w="527" w:type="pct"/>
            <w:vAlign w:val="center"/>
          </w:tcPr>
          <w:p w:rsidR="006F4D6F" w:rsidRDefault="006F4D6F" w:rsidP="00AA6D3E">
            <w:pPr>
              <w:jc w:val="center"/>
            </w:pPr>
            <w:r>
              <w:rPr>
                <w:color w:val="800000"/>
              </w:rPr>
              <w:t>Elaboration</w:t>
            </w:r>
          </w:p>
        </w:tc>
        <w:tc>
          <w:tcPr>
            <w:tcW w:w="565" w:type="pct"/>
            <w:vAlign w:val="center"/>
          </w:tcPr>
          <w:p w:rsidR="006F4D6F" w:rsidRPr="006D0933" w:rsidRDefault="006F4D6F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15%</w:t>
            </w:r>
          </w:p>
        </w:tc>
        <w:tc>
          <w:tcPr>
            <w:tcW w:w="914" w:type="pct"/>
            <w:vAlign w:val="center"/>
          </w:tcPr>
          <w:p w:rsidR="006F4D6F" w:rsidRPr="006D0933" w:rsidRDefault="006F4D6F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</w:tr>
      <w:tr w:rsidR="00782124" w:rsidRPr="00C113D0" w:rsidTr="005D343D">
        <w:tc>
          <w:tcPr>
            <w:tcW w:w="620" w:type="pct"/>
            <w:vAlign w:val="center"/>
          </w:tcPr>
          <w:p w:rsidR="00782124" w:rsidRPr="00C113D0" w:rsidRDefault="007523A7" w:rsidP="00782124">
            <w:pPr>
              <w:jc w:val="center"/>
            </w:pPr>
            <w:r>
              <w:t>High (2016</w:t>
            </w:r>
            <w:r w:rsidR="00782124">
              <w:t>)</w:t>
            </w:r>
          </w:p>
        </w:tc>
        <w:tc>
          <w:tcPr>
            <w:tcW w:w="2375" w:type="pct"/>
            <w:vAlign w:val="center"/>
          </w:tcPr>
          <w:p w:rsidR="00782124" w:rsidRPr="00C113D0" w:rsidRDefault="00782124" w:rsidP="00782124">
            <w:r>
              <w:t>AIS Education Module</w:t>
            </w:r>
          </w:p>
        </w:tc>
        <w:tc>
          <w:tcPr>
            <w:tcW w:w="527" w:type="pct"/>
            <w:vAlign w:val="center"/>
          </w:tcPr>
          <w:p w:rsidR="00782124" w:rsidRPr="00F40755" w:rsidRDefault="00891BC3" w:rsidP="00782124">
            <w:pPr>
              <w:jc w:val="center"/>
              <w:rPr>
                <w:color w:val="FF0000"/>
              </w:rPr>
            </w:pPr>
            <w:r>
              <w:rPr>
                <w:color w:val="800000"/>
              </w:rPr>
              <w:t>Construction</w:t>
            </w:r>
          </w:p>
        </w:tc>
        <w:tc>
          <w:tcPr>
            <w:tcW w:w="565" w:type="pct"/>
            <w:vAlign w:val="center"/>
          </w:tcPr>
          <w:p w:rsidR="00782124" w:rsidRDefault="007523A7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="00D22F27">
              <w:rPr>
                <w:rFonts w:asciiTheme="majorHAnsi" w:hAnsiTheme="majorHAnsi"/>
                <w:sz w:val="18"/>
                <w:szCs w:val="18"/>
              </w:rPr>
              <w:t>0</w:t>
            </w:r>
            <w:r w:rsidR="00782124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4" w:type="pct"/>
            <w:vAlign w:val="center"/>
          </w:tcPr>
          <w:p w:rsidR="00782124" w:rsidRDefault="007523A7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5D343D" w:rsidRPr="00C113D0" w:rsidTr="005D343D">
        <w:tc>
          <w:tcPr>
            <w:tcW w:w="620" w:type="pct"/>
            <w:vAlign w:val="center"/>
          </w:tcPr>
          <w:p w:rsidR="005D343D" w:rsidRPr="00C113D0" w:rsidRDefault="007523A7" w:rsidP="005D343D">
            <w:pPr>
              <w:jc w:val="center"/>
            </w:pPr>
            <w:r>
              <w:t>High (2016</w:t>
            </w:r>
            <w:r w:rsidR="005D343D">
              <w:t>)</w:t>
            </w:r>
          </w:p>
        </w:tc>
        <w:tc>
          <w:tcPr>
            <w:tcW w:w="2375" w:type="pct"/>
            <w:vAlign w:val="center"/>
          </w:tcPr>
          <w:p w:rsidR="005D343D" w:rsidRPr="00C113D0" w:rsidRDefault="007523A7" w:rsidP="005D343D">
            <w:r>
              <w:t>Field</w:t>
            </w:r>
            <w:r w:rsidR="005D343D">
              <w:t xml:space="preserve"> Organization Reporting</w:t>
            </w:r>
          </w:p>
        </w:tc>
        <w:tc>
          <w:tcPr>
            <w:tcW w:w="527" w:type="pct"/>
            <w:vAlign w:val="center"/>
          </w:tcPr>
          <w:p w:rsidR="005D343D" w:rsidRPr="00F40755" w:rsidRDefault="00891BC3" w:rsidP="005D343D">
            <w:pPr>
              <w:jc w:val="center"/>
              <w:rPr>
                <w:color w:val="FF0000"/>
              </w:rPr>
            </w:pPr>
            <w:r w:rsidRPr="00891BC3">
              <w:rPr>
                <w:color w:val="000000" w:themeColor="text1"/>
              </w:rPr>
              <w:t>Construction</w:t>
            </w:r>
          </w:p>
        </w:tc>
        <w:tc>
          <w:tcPr>
            <w:tcW w:w="565" w:type="pct"/>
            <w:vAlign w:val="center"/>
          </w:tcPr>
          <w:p w:rsidR="005D343D" w:rsidRDefault="00891BC3" w:rsidP="005D343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="005D343D"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4" w:type="pct"/>
            <w:vAlign w:val="center"/>
          </w:tcPr>
          <w:p w:rsidR="005D343D" w:rsidRDefault="00891BC3" w:rsidP="005D343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E21AE2" w:rsidRPr="00C113D0" w:rsidTr="005D343D">
        <w:tc>
          <w:tcPr>
            <w:tcW w:w="620" w:type="pct"/>
            <w:vAlign w:val="center"/>
          </w:tcPr>
          <w:p w:rsidR="006F4D6F" w:rsidRPr="00C113D0" w:rsidRDefault="006F4D6F" w:rsidP="00AF2265">
            <w:pPr>
              <w:jc w:val="center"/>
            </w:pPr>
            <w:r w:rsidRPr="00C113D0">
              <w:t>High</w:t>
            </w:r>
            <w:r w:rsidR="007523A7">
              <w:t xml:space="preserve"> (2016</w:t>
            </w:r>
            <w:r>
              <w:t>)</w:t>
            </w:r>
          </w:p>
        </w:tc>
        <w:tc>
          <w:tcPr>
            <w:tcW w:w="2375" w:type="pct"/>
            <w:vAlign w:val="center"/>
          </w:tcPr>
          <w:p w:rsidR="006F4D6F" w:rsidRPr="00C113D0" w:rsidRDefault="006F4D6F" w:rsidP="00AF2265">
            <w:r w:rsidRPr="00C113D0">
              <w:t>Replacement for DXCC (“ATS”) system</w:t>
            </w:r>
          </w:p>
        </w:tc>
        <w:tc>
          <w:tcPr>
            <w:tcW w:w="527" w:type="pct"/>
            <w:vAlign w:val="center"/>
          </w:tcPr>
          <w:p w:rsidR="006F4D6F" w:rsidRPr="00C113D0" w:rsidRDefault="006F4D6F" w:rsidP="00AF2265">
            <w:pPr>
              <w:jc w:val="center"/>
            </w:pPr>
            <w:r>
              <w:t>Construction</w:t>
            </w:r>
          </w:p>
        </w:tc>
        <w:tc>
          <w:tcPr>
            <w:tcW w:w="565" w:type="pct"/>
            <w:vAlign w:val="center"/>
          </w:tcPr>
          <w:p w:rsidR="006F4D6F" w:rsidRPr="006D0933" w:rsidRDefault="006F4D6F" w:rsidP="00AF226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35%</w:t>
            </w:r>
          </w:p>
        </w:tc>
        <w:tc>
          <w:tcPr>
            <w:tcW w:w="914" w:type="pct"/>
            <w:vAlign w:val="center"/>
          </w:tcPr>
          <w:p w:rsidR="006F4D6F" w:rsidRPr="006D0933" w:rsidRDefault="006F4D6F" w:rsidP="00AF226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</w:tr>
      <w:tr w:rsidR="00B927B3" w:rsidRPr="00C113D0" w:rsidTr="005D343D">
        <w:tc>
          <w:tcPr>
            <w:tcW w:w="620" w:type="pct"/>
            <w:vAlign w:val="center"/>
          </w:tcPr>
          <w:p w:rsidR="00B927B3" w:rsidRPr="00891BC3" w:rsidRDefault="00B927B3" w:rsidP="00B927B3">
            <w:pPr>
              <w:jc w:val="center"/>
              <w:rPr>
                <w:strike/>
              </w:rPr>
            </w:pPr>
            <w:r w:rsidRPr="00891BC3">
              <w:rPr>
                <w:strike/>
              </w:rPr>
              <w:t>High (2015)</w:t>
            </w:r>
          </w:p>
        </w:tc>
        <w:tc>
          <w:tcPr>
            <w:tcW w:w="2375" w:type="pct"/>
            <w:vAlign w:val="center"/>
          </w:tcPr>
          <w:p w:rsidR="00B927B3" w:rsidRPr="00891BC3" w:rsidRDefault="00B927B3" w:rsidP="00B927B3">
            <w:pPr>
              <w:rPr>
                <w:strike/>
              </w:rPr>
            </w:pPr>
            <w:r w:rsidRPr="00891BC3">
              <w:rPr>
                <w:strike/>
              </w:rPr>
              <w:t>Web service subscription interface for Digital QEX</w:t>
            </w:r>
          </w:p>
        </w:tc>
        <w:tc>
          <w:tcPr>
            <w:tcW w:w="527" w:type="pct"/>
            <w:vAlign w:val="center"/>
          </w:tcPr>
          <w:p w:rsidR="00B927B3" w:rsidRPr="00891BC3" w:rsidRDefault="00B927B3" w:rsidP="00B927B3">
            <w:pPr>
              <w:jc w:val="center"/>
              <w:rPr>
                <w:strike/>
                <w:color w:val="FF0000"/>
              </w:rPr>
            </w:pPr>
            <w:r w:rsidRPr="00891BC3">
              <w:rPr>
                <w:strike/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B927B3" w:rsidRPr="00891BC3" w:rsidRDefault="00B927B3" w:rsidP="00B927B3">
            <w:pPr>
              <w:jc w:val="center"/>
              <w:rPr>
                <w:rFonts w:asciiTheme="majorHAnsi" w:hAnsiTheme="majorHAnsi"/>
                <w:strike/>
                <w:sz w:val="18"/>
                <w:szCs w:val="18"/>
              </w:rPr>
            </w:pPr>
            <w:r w:rsidRPr="00891BC3">
              <w:rPr>
                <w:rFonts w:asciiTheme="majorHAnsi" w:hAnsiTheme="majorHAnsi"/>
                <w:strike/>
                <w:sz w:val="18"/>
                <w:szCs w:val="18"/>
              </w:rPr>
              <w:t>0%</w:t>
            </w:r>
          </w:p>
        </w:tc>
        <w:tc>
          <w:tcPr>
            <w:tcW w:w="914" w:type="pct"/>
            <w:vAlign w:val="center"/>
          </w:tcPr>
          <w:p w:rsidR="00B927B3" w:rsidRPr="00891BC3" w:rsidRDefault="00B927B3" w:rsidP="00B927B3">
            <w:pPr>
              <w:jc w:val="center"/>
              <w:rPr>
                <w:rFonts w:asciiTheme="majorHAnsi" w:hAnsiTheme="majorHAnsi"/>
                <w:strike/>
                <w:sz w:val="18"/>
                <w:szCs w:val="18"/>
              </w:rPr>
            </w:pPr>
            <w:r w:rsidRPr="00891BC3">
              <w:rPr>
                <w:rFonts w:asciiTheme="majorHAnsi" w:hAnsiTheme="majorHAnsi"/>
                <w:strike/>
                <w:sz w:val="18"/>
                <w:szCs w:val="18"/>
              </w:rPr>
              <w:t>2</w:t>
            </w:r>
          </w:p>
        </w:tc>
      </w:tr>
      <w:tr w:rsidR="00484101" w:rsidRPr="00C113D0" w:rsidTr="005D343D">
        <w:tc>
          <w:tcPr>
            <w:tcW w:w="620" w:type="pct"/>
            <w:vAlign w:val="center"/>
          </w:tcPr>
          <w:p w:rsidR="00484101" w:rsidRDefault="007523A7" w:rsidP="00484101">
            <w:pPr>
              <w:jc w:val="center"/>
            </w:pPr>
            <w:r>
              <w:t>High (2016</w:t>
            </w:r>
            <w:r w:rsidR="00484101">
              <w:t>)</w:t>
            </w:r>
          </w:p>
        </w:tc>
        <w:tc>
          <w:tcPr>
            <w:tcW w:w="2375" w:type="pct"/>
            <w:vAlign w:val="center"/>
          </w:tcPr>
          <w:p w:rsidR="00484101" w:rsidRDefault="00484101" w:rsidP="00484101">
            <w:r>
              <w:t>Web service for VEC portal</w:t>
            </w:r>
          </w:p>
        </w:tc>
        <w:tc>
          <w:tcPr>
            <w:tcW w:w="527" w:type="pct"/>
            <w:vAlign w:val="center"/>
          </w:tcPr>
          <w:p w:rsidR="00484101" w:rsidRPr="00F40755" w:rsidRDefault="00484101" w:rsidP="00484101">
            <w:pPr>
              <w:jc w:val="center"/>
              <w:rPr>
                <w:color w:val="FF0000"/>
              </w:rPr>
            </w:pPr>
            <w:r w:rsidRPr="00F40755">
              <w:rPr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484101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4" w:type="pct"/>
            <w:vAlign w:val="center"/>
          </w:tcPr>
          <w:p w:rsidR="00484101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E21AE2" w:rsidRPr="00C113D0" w:rsidTr="005D343D">
        <w:tc>
          <w:tcPr>
            <w:tcW w:w="620" w:type="pct"/>
            <w:vAlign w:val="center"/>
          </w:tcPr>
          <w:p w:rsidR="00484101" w:rsidRPr="00C113D0" w:rsidRDefault="00484101" w:rsidP="00484101">
            <w:pPr>
              <w:jc w:val="center"/>
            </w:pPr>
            <w:r w:rsidRPr="00C113D0">
              <w:t>Medium</w:t>
            </w:r>
            <w:r>
              <w:t xml:space="preserve"> (2014)</w:t>
            </w:r>
          </w:p>
        </w:tc>
        <w:tc>
          <w:tcPr>
            <w:tcW w:w="2375" w:type="pct"/>
            <w:vAlign w:val="center"/>
          </w:tcPr>
          <w:p w:rsidR="00484101" w:rsidRPr="00C113D0" w:rsidRDefault="00484101" w:rsidP="00484101">
            <w:r w:rsidRPr="00C113D0">
              <w:t>Upgrade ARRL web site software components</w:t>
            </w:r>
          </w:p>
        </w:tc>
        <w:tc>
          <w:tcPr>
            <w:tcW w:w="527" w:type="pct"/>
            <w:vAlign w:val="center"/>
          </w:tcPr>
          <w:p w:rsidR="00484101" w:rsidRPr="00C113D0" w:rsidRDefault="00484101" w:rsidP="00484101">
            <w:pPr>
              <w:jc w:val="center"/>
            </w:pPr>
            <w:r>
              <w:rPr>
                <w:color w:val="800000"/>
              </w:rPr>
              <w:t>Elaboration</w:t>
            </w:r>
          </w:p>
        </w:tc>
        <w:tc>
          <w:tcPr>
            <w:tcW w:w="565" w:type="pct"/>
            <w:vAlign w:val="center"/>
          </w:tcPr>
          <w:p w:rsidR="00484101" w:rsidRPr="006D0933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914" w:type="pct"/>
            <w:vAlign w:val="center"/>
          </w:tcPr>
          <w:p w:rsidR="00484101" w:rsidRPr="006D0933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</w:tr>
      <w:tr w:rsidR="00E21AE2" w:rsidRPr="00C113D0" w:rsidTr="005D343D">
        <w:tc>
          <w:tcPr>
            <w:tcW w:w="620" w:type="pct"/>
            <w:vAlign w:val="center"/>
          </w:tcPr>
          <w:p w:rsidR="00484101" w:rsidRPr="00C113D0" w:rsidRDefault="00484101" w:rsidP="00484101">
            <w:pPr>
              <w:jc w:val="center"/>
            </w:pPr>
            <w:r w:rsidRPr="00C113D0">
              <w:t>Medium</w:t>
            </w:r>
            <w:r w:rsidR="007523A7">
              <w:t xml:space="preserve"> (2016</w:t>
            </w:r>
            <w:r>
              <w:t>)</w:t>
            </w:r>
          </w:p>
        </w:tc>
        <w:tc>
          <w:tcPr>
            <w:tcW w:w="2375" w:type="pct"/>
            <w:vAlign w:val="center"/>
          </w:tcPr>
          <w:p w:rsidR="00484101" w:rsidRPr="00C113D0" w:rsidRDefault="00484101" w:rsidP="00484101">
            <w:r w:rsidRPr="00C113D0">
              <w:t>Improve tools for ARRL electronic newsletters</w:t>
            </w:r>
          </w:p>
        </w:tc>
        <w:tc>
          <w:tcPr>
            <w:tcW w:w="527" w:type="pct"/>
            <w:vAlign w:val="center"/>
          </w:tcPr>
          <w:p w:rsidR="00484101" w:rsidRPr="00C113D0" w:rsidRDefault="00484101" w:rsidP="00484101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484101" w:rsidRPr="006D0933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4" w:type="pct"/>
            <w:vAlign w:val="center"/>
          </w:tcPr>
          <w:p w:rsidR="00484101" w:rsidRPr="00B927B3" w:rsidRDefault="00484101" w:rsidP="00484101">
            <w:pPr>
              <w:jc w:val="center"/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E21AE2" w:rsidRPr="00C113D0" w:rsidTr="005D343D">
        <w:tc>
          <w:tcPr>
            <w:tcW w:w="620" w:type="pct"/>
            <w:vAlign w:val="center"/>
          </w:tcPr>
          <w:p w:rsidR="00484101" w:rsidRPr="00C76B80" w:rsidRDefault="00484101" w:rsidP="00484101">
            <w:pPr>
              <w:jc w:val="center"/>
            </w:pPr>
            <w:r w:rsidRPr="00C76B80">
              <w:t>Medium</w:t>
            </w:r>
            <w:r>
              <w:t xml:space="preserve"> (2014)</w:t>
            </w:r>
          </w:p>
        </w:tc>
        <w:tc>
          <w:tcPr>
            <w:tcW w:w="2375" w:type="pct"/>
            <w:vAlign w:val="center"/>
          </w:tcPr>
          <w:p w:rsidR="00484101" w:rsidRPr="00C76B80" w:rsidRDefault="00484101" w:rsidP="00484101">
            <w:r w:rsidRPr="00C76B80">
              <w:t>Authentication web service for exam generation</w:t>
            </w:r>
          </w:p>
        </w:tc>
        <w:tc>
          <w:tcPr>
            <w:tcW w:w="527" w:type="pct"/>
            <w:vAlign w:val="center"/>
          </w:tcPr>
          <w:p w:rsidR="00484101" w:rsidRPr="00C76B80" w:rsidRDefault="00484101" w:rsidP="00484101">
            <w:pPr>
              <w:jc w:val="center"/>
            </w:pPr>
            <w:r w:rsidRPr="00C76B80">
              <w:rPr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484101" w:rsidRPr="00C76B80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76B80"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4" w:type="pct"/>
            <w:vAlign w:val="center"/>
          </w:tcPr>
          <w:p w:rsidR="00484101" w:rsidRPr="00B927B3" w:rsidRDefault="00484101" w:rsidP="00484101">
            <w:pPr>
              <w:jc w:val="center"/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E21AE2" w:rsidRPr="00C113D0" w:rsidTr="005D343D">
        <w:tc>
          <w:tcPr>
            <w:tcW w:w="620" w:type="pct"/>
            <w:vAlign w:val="center"/>
          </w:tcPr>
          <w:p w:rsidR="00484101" w:rsidRPr="00C113D0" w:rsidRDefault="007523A7" w:rsidP="00484101">
            <w:pPr>
              <w:jc w:val="center"/>
            </w:pPr>
            <w:r>
              <w:t>Medium (2016</w:t>
            </w:r>
            <w:r w:rsidR="00484101">
              <w:t>)</w:t>
            </w:r>
          </w:p>
        </w:tc>
        <w:tc>
          <w:tcPr>
            <w:tcW w:w="2375" w:type="pct"/>
            <w:vAlign w:val="center"/>
          </w:tcPr>
          <w:p w:rsidR="00484101" w:rsidRPr="00C113D0" w:rsidRDefault="00484101" w:rsidP="00484101">
            <w:r w:rsidRPr="00C113D0">
              <w:t>“Contest 2020”</w:t>
            </w:r>
            <w:r>
              <w:t xml:space="preserve"> Phase 2</w:t>
            </w:r>
          </w:p>
        </w:tc>
        <w:tc>
          <w:tcPr>
            <w:tcW w:w="527" w:type="pct"/>
            <w:vAlign w:val="center"/>
          </w:tcPr>
          <w:p w:rsidR="00484101" w:rsidRPr="00C113D0" w:rsidRDefault="00484101" w:rsidP="00484101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65" w:type="pct"/>
            <w:vAlign w:val="center"/>
          </w:tcPr>
          <w:p w:rsidR="00484101" w:rsidRPr="006D0933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14" w:type="pct"/>
            <w:vAlign w:val="center"/>
          </w:tcPr>
          <w:p w:rsidR="00484101" w:rsidRPr="00B927B3" w:rsidRDefault="00484101" w:rsidP="00484101">
            <w:pPr>
              <w:jc w:val="center"/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E21AE2" w:rsidTr="005D343D"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484101" w:rsidRPr="00C113D0" w:rsidRDefault="007523A7" w:rsidP="00484101">
            <w:pPr>
              <w:jc w:val="center"/>
            </w:pPr>
            <w:r>
              <w:t>Medium (2016</w:t>
            </w:r>
            <w:r w:rsidR="00484101">
              <w:t>)</w:t>
            </w:r>
          </w:p>
        </w:tc>
        <w:tc>
          <w:tcPr>
            <w:tcW w:w="2375" w:type="pct"/>
            <w:tcBorders>
              <w:bottom w:val="single" w:sz="4" w:space="0" w:color="auto"/>
            </w:tcBorders>
            <w:vAlign w:val="center"/>
          </w:tcPr>
          <w:p w:rsidR="00484101" w:rsidRPr="00C113D0" w:rsidRDefault="00484101" w:rsidP="00484101">
            <w:r w:rsidRPr="00C113D0">
              <w:t>“Contest 2020”</w:t>
            </w:r>
            <w:r>
              <w:t xml:space="preserve"> Phase 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484101" w:rsidRPr="00C113D0" w:rsidRDefault="00484101" w:rsidP="00484101">
            <w:pPr>
              <w:jc w:val="center"/>
            </w:pPr>
            <w:r>
              <w:rPr>
                <w:color w:val="008000"/>
              </w:rPr>
              <w:t>Transition</w:t>
            </w:r>
          </w:p>
        </w:tc>
        <w:tc>
          <w:tcPr>
            <w:tcW w:w="565" w:type="pct"/>
            <w:vAlign w:val="center"/>
          </w:tcPr>
          <w:p w:rsidR="00484101" w:rsidRPr="006D0933" w:rsidRDefault="00A5428B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  <w:r w:rsidR="00484101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4" w:type="pct"/>
            <w:vAlign w:val="center"/>
          </w:tcPr>
          <w:p w:rsidR="00484101" w:rsidRDefault="00A5428B" w:rsidP="00484101">
            <w:pPr>
              <w:jc w:val="center"/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484101" w:rsidTr="005D343D">
        <w:tc>
          <w:tcPr>
            <w:tcW w:w="620" w:type="pct"/>
            <w:tcBorders>
              <w:left w:val="nil"/>
              <w:bottom w:val="nil"/>
              <w:right w:val="nil"/>
            </w:tcBorders>
            <w:vAlign w:val="center"/>
          </w:tcPr>
          <w:p w:rsidR="00484101" w:rsidRPr="00C113D0" w:rsidRDefault="00484101" w:rsidP="00484101">
            <w:pPr>
              <w:jc w:val="center"/>
            </w:pPr>
          </w:p>
        </w:tc>
        <w:tc>
          <w:tcPr>
            <w:tcW w:w="2375" w:type="pct"/>
            <w:tcBorders>
              <w:left w:val="nil"/>
              <w:bottom w:val="nil"/>
              <w:right w:val="nil"/>
            </w:tcBorders>
            <w:vAlign w:val="center"/>
          </w:tcPr>
          <w:p w:rsidR="00484101" w:rsidRPr="00C113D0" w:rsidRDefault="00484101" w:rsidP="00484101"/>
        </w:tc>
        <w:tc>
          <w:tcPr>
            <w:tcW w:w="527" w:type="pct"/>
            <w:tcBorders>
              <w:left w:val="nil"/>
              <w:bottom w:val="nil"/>
            </w:tcBorders>
            <w:vAlign w:val="center"/>
          </w:tcPr>
          <w:p w:rsidR="00484101" w:rsidRDefault="00484101" w:rsidP="00484101">
            <w:pPr>
              <w:jc w:val="center"/>
              <w:rPr>
                <w:color w:val="008000"/>
              </w:rPr>
            </w:pPr>
          </w:p>
        </w:tc>
        <w:tc>
          <w:tcPr>
            <w:tcW w:w="565" w:type="pct"/>
            <w:vAlign w:val="center"/>
          </w:tcPr>
          <w:p w:rsidR="00484101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 Effort</w:t>
            </w:r>
          </w:p>
        </w:tc>
        <w:tc>
          <w:tcPr>
            <w:tcW w:w="914" w:type="pct"/>
            <w:vAlign w:val="center"/>
          </w:tcPr>
          <w:p w:rsidR="00484101" w:rsidRDefault="00CB06B9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</w:tr>
      <w:tr w:rsidR="00484101" w:rsidTr="005D343D">
        <w:trPr>
          <w:trHeight w:val="332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101" w:rsidRPr="00C113D0" w:rsidRDefault="00484101" w:rsidP="00484101">
            <w:pPr>
              <w:jc w:val="center"/>
            </w:pP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101" w:rsidRPr="00C113D0" w:rsidRDefault="00484101" w:rsidP="00484101"/>
        </w:tc>
        <w:tc>
          <w:tcPr>
            <w:tcW w:w="527" w:type="pct"/>
            <w:tcBorders>
              <w:top w:val="nil"/>
              <w:left w:val="nil"/>
              <w:bottom w:val="nil"/>
            </w:tcBorders>
            <w:vAlign w:val="center"/>
          </w:tcPr>
          <w:p w:rsidR="00484101" w:rsidRDefault="00484101" w:rsidP="00484101">
            <w:pPr>
              <w:jc w:val="center"/>
              <w:rPr>
                <w:color w:val="008000"/>
              </w:rPr>
            </w:pPr>
          </w:p>
        </w:tc>
        <w:tc>
          <w:tcPr>
            <w:tcW w:w="565" w:type="pct"/>
            <w:vAlign w:val="center"/>
          </w:tcPr>
          <w:p w:rsidR="00484101" w:rsidRDefault="00484101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Available Effort</w:t>
            </w:r>
          </w:p>
        </w:tc>
        <w:tc>
          <w:tcPr>
            <w:tcW w:w="914" w:type="pct"/>
            <w:vAlign w:val="center"/>
          </w:tcPr>
          <w:p w:rsidR="00AF2B5A" w:rsidRDefault="007523A7" w:rsidP="00AF2B5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</w:tr>
      <w:tr w:rsidR="00484101" w:rsidTr="005D343D"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101" w:rsidRPr="00C113D0" w:rsidRDefault="00484101" w:rsidP="00484101">
            <w:pPr>
              <w:jc w:val="center"/>
            </w:pP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101" w:rsidRPr="00C113D0" w:rsidRDefault="00484101" w:rsidP="00484101"/>
        </w:tc>
        <w:tc>
          <w:tcPr>
            <w:tcW w:w="527" w:type="pct"/>
            <w:tcBorders>
              <w:top w:val="nil"/>
              <w:left w:val="nil"/>
              <w:bottom w:val="nil"/>
            </w:tcBorders>
            <w:vAlign w:val="center"/>
          </w:tcPr>
          <w:p w:rsidR="00484101" w:rsidRDefault="00484101" w:rsidP="00484101">
            <w:pPr>
              <w:jc w:val="center"/>
              <w:rPr>
                <w:color w:val="008000"/>
              </w:rPr>
            </w:pPr>
          </w:p>
        </w:tc>
        <w:tc>
          <w:tcPr>
            <w:tcW w:w="565" w:type="pct"/>
            <w:vAlign w:val="center"/>
          </w:tcPr>
          <w:p w:rsidR="00484101" w:rsidRDefault="00E21AE2" w:rsidP="004841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Commitments</w:t>
            </w:r>
          </w:p>
        </w:tc>
        <w:tc>
          <w:tcPr>
            <w:tcW w:w="914" w:type="pct"/>
            <w:vAlign w:val="center"/>
          </w:tcPr>
          <w:p w:rsidR="00484101" w:rsidRPr="00E21AE2" w:rsidRDefault="00CB06B9" w:rsidP="00CB06B9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FF0000"/>
                <w:sz w:val="18"/>
                <w:szCs w:val="18"/>
              </w:rPr>
              <w:t>150</w:t>
            </w:r>
            <w:r w:rsidR="007523A7">
              <w:rPr>
                <w:rFonts w:asciiTheme="majorHAnsi" w:hAnsiTheme="majorHAnsi"/>
                <w:color w:val="FF0000"/>
                <w:sz w:val="18"/>
                <w:szCs w:val="18"/>
              </w:rPr>
              <w:t>%</w:t>
            </w:r>
          </w:p>
        </w:tc>
      </w:tr>
    </w:tbl>
    <w:p w:rsidR="0006420D" w:rsidRDefault="0006420D" w:rsidP="0006420D">
      <w:r>
        <w:br w:type="page"/>
      </w:r>
    </w:p>
    <w:p w:rsidR="00716AC4" w:rsidRDefault="00716AC4" w:rsidP="00B927B3">
      <w:pPr>
        <w:pStyle w:val="Caption"/>
        <w:keepNext/>
        <w:jc w:val="center"/>
        <w:rPr>
          <w:color w:val="auto"/>
          <w:sz w:val="36"/>
          <w:szCs w:val="36"/>
        </w:rPr>
      </w:pPr>
    </w:p>
    <w:p w:rsidR="00B927B3" w:rsidRDefault="00B927B3" w:rsidP="00B927B3">
      <w:pPr>
        <w:pStyle w:val="Caption"/>
        <w:keepNext/>
        <w:jc w:val="center"/>
        <w:rPr>
          <w:color w:val="auto"/>
          <w:sz w:val="36"/>
          <w:szCs w:val="36"/>
        </w:rPr>
      </w:pPr>
      <w:r w:rsidRPr="006B69D9">
        <w:rPr>
          <w:color w:val="auto"/>
          <w:sz w:val="36"/>
          <w:szCs w:val="36"/>
        </w:rPr>
        <w:t xml:space="preserve">Table </w:t>
      </w:r>
      <w:r>
        <w:rPr>
          <w:color w:val="auto"/>
          <w:sz w:val="36"/>
          <w:szCs w:val="36"/>
        </w:rPr>
        <w:t>1 — IT Project Status (</w:t>
      </w:r>
      <w:r w:rsidR="007F73ED">
        <w:rPr>
          <w:color w:val="auto"/>
          <w:sz w:val="36"/>
          <w:szCs w:val="36"/>
        </w:rPr>
        <w:t>January 2016</w:t>
      </w:r>
      <w:r w:rsidRPr="006B69D9">
        <w:rPr>
          <w:color w:val="auto"/>
          <w:sz w:val="36"/>
          <w:szCs w:val="36"/>
        </w:rPr>
        <w:t>)</w:t>
      </w:r>
      <w:r>
        <w:rPr>
          <w:color w:val="auto"/>
          <w:sz w:val="36"/>
          <w:szCs w:val="36"/>
        </w:rPr>
        <w:t xml:space="preserve"> – cont.</w:t>
      </w:r>
    </w:p>
    <w:p w:rsidR="006F4D6F" w:rsidRPr="006B69D9" w:rsidRDefault="006F4D6F" w:rsidP="006F4D6F">
      <w:pPr>
        <w:pStyle w:val="Caption"/>
        <w:keepNext/>
        <w:jc w:val="center"/>
        <w:rPr>
          <w:color w:val="auto"/>
          <w:sz w:val="36"/>
          <w:szCs w:val="36"/>
        </w:rPr>
      </w:pPr>
      <w:r w:rsidRPr="006B69D9">
        <w:rPr>
          <w:color w:val="auto"/>
          <w:sz w:val="36"/>
          <w:szCs w:val="36"/>
        </w:rPr>
        <w:t xml:space="preserve">Table </w:t>
      </w:r>
      <w:r>
        <w:rPr>
          <w:color w:val="auto"/>
          <w:sz w:val="36"/>
          <w:szCs w:val="36"/>
        </w:rPr>
        <w:t xml:space="preserve">1b — </w:t>
      </w:r>
      <w:proofErr w:type="spellStart"/>
      <w:r w:rsidR="0006420D">
        <w:rPr>
          <w:color w:val="auto"/>
          <w:sz w:val="36"/>
          <w:szCs w:val="36"/>
        </w:rPr>
        <w:t>LoTW</w:t>
      </w:r>
      <w:proofErr w:type="spellEnd"/>
      <w:r>
        <w:rPr>
          <w:color w:val="auto"/>
          <w:sz w:val="36"/>
          <w:szCs w:val="36"/>
        </w:rPr>
        <w:t xml:space="preserve"> Software Development Projects (</w:t>
      </w:r>
      <w:r w:rsidR="007F73ED">
        <w:rPr>
          <w:color w:val="auto"/>
          <w:sz w:val="36"/>
          <w:szCs w:val="36"/>
        </w:rPr>
        <w:t>January 2016</w:t>
      </w:r>
      <w:r w:rsidRPr="006B69D9">
        <w:rPr>
          <w:color w:val="auto"/>
          <w:sz w:val="36"/>
          <w:szCs w:val="36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4"/>
        <w:gridCol w:w="18"/>
        <w:gridCol w:w="6112"/>
        <w:gridCol w:w="36"/>
        <w:gridCol w:w="1366"/>
        <w:gridCol w:w="1430"/>
        <w:gridCol w:w="2404"/>
      </w:tblGrid>
      <w:tr w:rsidR="006F4D6F" w:rsidRPr="00436514" w:rsidTr="00F865BE">
        <w:tc>
          <w:tcPr>
            <w:tcW w:w="619" w:type="pct"/>
            <w:gridSpan w:val="2"/>
            <w:vMerge w:val="restar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Priority</w:t>
            </w:r>
          </w:p>
        </w:tc>
        <w:tc>
          <w:tcPr>
            <w:tcW w:w="2374" w:type="pct"/>
            <w:gridSpan w:val="2"/>
            <w:vMerge w:val="restar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527" w:type="pct"/>
            <w:vMerge w:val="restar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</w:t>
            </w:r>
          </w:p>
        </w:tc>
        <w:tc>
          <w:tcPr>
            <w:tcW w:w="1480" w:type="pct"/>
            <w:gridSpan w:val="2"/>
            <w:vAlign w:val="center"/>
          </w:tcPr>
          <w:p w:rsidR="006F4D6F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6F4D6F" w:rsidRPr="00436514" w:rsidTr="00F865BE">
        <w:tc>
          <w:tcPr>
            <w:tcW w:w="619" w:type="pct"/>
            <w:gridSpan w:val="2"/>
            <w:vMerge/>
          </w:tcPr>
          <w:p w:rsidR="006F4D6F" w:rsidRPr="00436514" w:rsidRDefault="006F4D6F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2374" w:type="pct"/>
            <w:gridSpan w:val="2"/>
            <w:vMerge/>
          </w:tcPr>
          <w:p w:rsidR="006F4D6F" w:rsidRPr="00436514" w:rsidRDefault="006F4D6F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6F4D6F" w:rsidRDefault="006F4D6F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</w:t>
            </w:r>
          </w:p>
        </w:tc>
        <w:tc>
          <w:tcPr>
            <w:tcW w:w="928" w:type="pct"/>
            <w:vAlign w:val="center"/>
          </w:tcPr>
          <w:p w:rsidR="006F4D6F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ETC — Effort</w:t>
            </w:r>
          </w:p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(person-months)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Pr="00C025C1" w:rsidRDefault="0090322B" w:rsidP="0090322B">
            <w:pPr>
              <w:jc w:val="center"/>
            </w:pPr>
            <w:r>
              <w:t>High (2016)</w:t>
            </w:r>
          </w:p>
        </w:tc>
        <w:tc>
          <w:tcPr>
            <w:tcW w:w="2374" w:type="pct"/>
            <w:gridSpan w:val="2"/>
            <w:vAlign w:val="center"/>
          </w:tcPr>
          <w:p w:rsidR="0090322B" w:rsidRDefault="0090322B" w:rsidP="0090322B">
            <w:pPr>
              <w:contextualSpacing/>
            </w:pPr>
            <w:r>
              <w:t xml:space="preserve">Place ads on </w:t>
            </w:r>
            <w:proofErr w:type="spellStart"/>
            <w:r>
              <w:t>LoTW</w:t>
            </w:r>
            <w:proofErr w:type="spellEnd"/>
            <w:r>
              <w:t xml:space="preserve"> pages 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>
              <w:rPr>
                <w:color w:val="800000"/>
              </w:rPr>
              <w:t>Transition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95%</w:t>
            </w:r>
          </w:p>
        </w:tc>
        <w:tc>
          <w:tcPr>
            <w:tcW w:w="928" w:type="pct"/>
            <w:vAlign w:val="center"/>
          </w:tcPr>
          <w:p w:rsidR="0090322B" w:rsidRPr="0006420D" w:rsidRDefault="0090322B" w:rsidP="0090322B">
            <w:pPr>
              <w:jc w:val="center"/>
            </w:pPr>
            <w:r>
              <w:t>0.1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Pr="00C025C1" w:rsidRDefault="00CB06B9" w:rsidP="0090322B">
            <w:pPr>
              <w:jc w:val="center"/>
            </w:pPr>
            <w:r>
              <w:t>High (2016</w:t>
            </w:r>
            <w:r w:rsidR="0090322B">
              <w:t>)</w:t>
            </w:r>
          </w:p>
        </w:tc>
        <w:tc>
          <w:tcPr>
            <w:tcW w:w="2374" w:type="pct"/>
            <w:gridSpan w:val="2"/>
            <w:vAlign w:val="center"/>
          </w:tcPr>
          <w:p w:rsidR="0090322B" w:rsidRDefault="0090322B" w:rsidP="0090322B">
            <w:pPr>
              <w:contextualSpacing/>
            </w:pPr>
            <w:r>
              <w:t xml:space="preserve">Add new awards (award sponsor API) 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>
              <w:rPr>
                <w:color w:val="800000"/>
              </w:rPr>
              <w:t>Transition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95%</w:t>
            </w:r>
          </w:p>
        </w:tc>
        <w:tc>
          <w:tcPr>
            <w:tcW w:w="928" w:type="pct"/>
            <w:vAlign w:val="center"/>
          </w:tcPr>
          <w:p w:rsidR="0090322B" w:rsidRPr="0006420D" w:rsidRDefault="0090322B" w:rsidP="0090322B">
            <w:pPr>
              <w:jc w:val="center"/>
            </w:pPr>
            <w:r>
              <w:t>0.1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Pr="00C025C1" w:rsidRDefault="00CB06B9" w:rsidP="0090322B">
            <w:pPr>
              <w:jc w:val="center"/>
            </w:pPr>
            <w:r>
              <w:t>High (2016</w:t>
            </w:r>
            <w:r w:rsidR="0090322B">
              <w:t>)</w:t>
            </w:r>
          </w:p>
        </w:tc>
        <w:tc>
          <w:tcPr>
            <w:tcW w:w="2374" w:type="pct"/>
            <w:gridSpan w:val="2"/>
            <w:vAlign w:val="center"/>
          </w:tcPr>
          <w:p w:rsidR="0090322B" w:rsidRDefault="0090322B" w:rsidP="0090322B">
            <w:pPr>
              <w:contextualSpacing/>
            </w:pPr>
            <w:r>
              <w:t xml:space="preserve">Improvements to user interface (Logbook web site redesign) 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28" w:type="pct"/>
            <w:vAlign w:val="center"/>
          </w:tcPr>
          <w:p w:rsidR="0090322B" w:rsidRPr="0006420D" w:rsidRDefault="0090322B" w:rsidP="0090322B">
            <w:pPr>
              <w:jc w:val="center"/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Pr="00C025C1" w:rsidRDefault="0090322B" w:rsidP="0090322B">
            <w:pPr>
              <w:jc w:val="center"/>
            </w:pPr>
            <w:r>
              <w:t>High (2015)</w:t>
            </w:r>
          </w:p>
        </w:tc>
        <w:tc>
          <w:tcPr>
            <w:tcW w:w="2374" w:type="pct"/>
            <w:gridSpan w:val="2"/>
            <w:vAlign w:val="center"/>
          </w:tcPr>
          <w:p w:rsidR="0090322B" w:rsidRDefault="0090322B" w:rsidP="0090322B">
            <w:pPr>
              <w:contextualSpacing/>
            </w:pPr>
            <w:r>
              <w:t xml:space="preserve">Update administration and awards management screens 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>
              <w:rPr>
                <w:color w:val="FF0000"/>
              </w:rPr>
              <w:t>Inception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0%</w:t>
            </w:r>
          </w:p>
        </w:tc>
        <w:tc>
          <w:tcPr>
            <w:tcW w:w="928" w:type="pct"/>
            <w:vAlign w:val="center"/>
          </w:tcPr>
          <w:p w:rsidR="0090322B" w:rsidRPr="0047179A" w:rsidRDefault="0090322B" w:rsidP="0090322B">
            <w:pPr>
              <w:jc w:val="center"/>
              <w:rPr>
                <w:sz w:val="18"/>
                <w:szCs w:val="18"/>
              </w:rPr>
            </w:pPr>
            <w:r w:rsidRPr="0047179A">
              <w:rPr>
                <w:sz w:val="18"/>
                <w:szCs w:val="18"/>
              </w:rPr>
              <w:t>6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Default="0090322B" w:rsidP="0090322B">
            <w:pPr>
              <w:jc w:val="center"/>
            </w:pPr>
            <w:r w:rsidRPr="00C025C1">
              <w:t>Medium</w:t>
            </w:r>
            <w:r>
              <w:t xml:space="preserve"> (2014)</w:t>
            </w:r>
          </w:p>
        </w:tc>
        <w:tc>
          <w:tcPr>
            <w:tcW w:w="2374" w:type="pct"/>
            <w:gridSpan w:val="2"/>
            <w:vAlign w:val="center"/>
          </w:tcPr>
          <w:p w:rsidR="0090322B" w:rsidRPr="00C113D0" w:rsidRDefault="0090322B" w:rsidP="0090322B">
            <w:pPr>
              <w:contextualSpacing/>
            </w:pPr>
            <w:r>
              <w:t xml:space="preserve">Code maintenance and upgrade </w:t>
            </w:r>
            <w:r w:rsidRPr="00C113D0">
              <w:t xml:space="preserve">SAP </w:t>
            </w:r>
            <w:r>
              <w:t>database classes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>
              <w:rPr>
                <w:color w:val="008000"/>
              </w:rPr>
              <w:t>Transition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99%</w:t>
            </w:r>
          </w:p>
        </w:tc>
        <w:tc>
          <w:tcPr>
            <w:tcW w:w="928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0.10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Default="0090322B" w:rsidP="0090322B">
            <w:pPr>
              <w:jc w:val="center"/>
            </w:pPr>
            <w:r w:rsidRPr="00C025C1">
              <w:t>Medium</w:t>
            </w:r>
            <w:r>
              <w:t xml:space="preserve"> (2014)</w:t>
            </w:r>
          </w:p>
        </w:tc>
        <w:tc>
          <w:tcPr>
            <w:tcW w:w="2374" w:type="pct"/>
            <w:gridSpan w:val="2"/>
            <w:vAlign w:val="center"/>
          </w:tcPr>
          <w:p w:rsidR="0090322B" w:rsidRPr="00C113D0" w:rsidRDefault="0090322B" w:rsidP="0090322B">
            <w:pPr>
              <w:contextualSpacing/>
            </w:pPr>
            <w:r w:rsidRPr="00C113D0">
              <w:t>Instrument, monitor and tune database performance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>
              <w:t>Construction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50%</w:t>
            </w:r>
          </w:p>
        </w:tc>
        <w:tc>
          <w:tcPr>
            <w:tcW w:w="928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Default="0090322B" w:rsidP="0090322B">
            <w:pPr>
              <w:jc w:val="center"/>
            </w:pPr>
            <w:r w:rsidRPr="00C025C1">
              <w:t>Medium</w:t>
            </w:r>
            <w:r>
              <w:t xml:space="preserve"> (2014)</w:t>
            </w:r>
          </w:p>
        </w:tc>
        <w:tc>
          <w:tcPr>
            <w:tcW w:w="2374" w:type="pct"/>
            <w:gridSpan w:val="2"/>
            <w:vAlign w:val="center"/>
          </w:tcPr>
          <w:p w:rsidR="0090322B" w:rsidRPr="00C113D0" w:rsidRDefault="0090322B" w:rsidP="0090322B">
            <w:pPr>
              <w:contextualSpacing/>
            </w:pPr>
            <w:r w:rsidRPr="00C113D0">
              <w:t>Establish a Logbook of the World co-location site.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>
              <w:rPr>
                <w:color w:val="008000"/>
              </w:rPr>
              <w:t>Transition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90%</w:t>
            </w:r>
          </w:p>
        </w:tc>
        <w:tc>
          <w:tcPr>
            <w:tcW w:w="928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0.50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Default="0090322B" w:rsidP="0090322B">
            <w:pPr>
              <w:jc w:val="center"/>
            </w:pPr>
            <w:r w:rsidRPr="00C025C1">
              <w:t>Medium</w:t>
            </w:r>
            <w:r>
              <w:t xml:space="preserve"> (2014)</w:t>
            </w:r>
          </w:p>
        </w:tc>
        <w:tc>
          <w:tcPr>
            <w:tcW w:w="2374" w:type="pct"/>
            <w:gridSpan w:val="2"/>
            <w:vAlign w:val="center"/>
          </w:tcPr>
          <w:p w:rsidR="0090322B" w:rsidRPr="00C113D0" w:rsidRDefault="0090322B" w:rsidP="0090322B">
            <w:pPr>
              <w:contextualSpacing/>
            </w:pPr>
            <w:r w:rsidRPr="00C113D0">
              <w:t>Add ARRL 5</w:t>
            </w:r>
            <w:r>
              <w:t>-</w:t>
            </w:r>
            <w:r w:rsidRPr="00C113D0">
              <w:t>B</w:t>
            </w:r>
            <w:r>
              <w:t>and award (</w:t>
            </w:r>
            <w:r w:rsidRPr="00C113D0">
              <w:t>WAS)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28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90322B" w:rsidRPr="00C113D0" w:rsidTr="00F865BE">
        <w:tc>
          <w:tcPr>
            <w:tcW w:w="619" w:type="pct"/>
            <w:gridSpan w:val="2"/>
            <w:vAlign w:val="center"/>
          </w:tcPr>
          <w:p w:rsidR="0090322B" w:rsidRDefault="0090322B" w:rsidP="0090322B">
            <w:pPr>
              <w:jc w:val="center"/>
            </w:pPr>
            <w:r w:rsidRPr="00C025C1">
              <w:t>Medium</w:t>
            </w:r>
            <w:r>
              <w:t xml:space="preserve"> (2014)</w:t>
            </w:r>
          </w:p>
        </w:tc>
        <w:tc>
          <w:tcPr>
            <w:tcW w:w="2374" w:type="pct"/>
            <w:gridSpan w:val="2"/>
            <w:vAlign w:val="center"/>
          </w:tcPr>
          <w:p w:rsidR="0090322B" w:rsidRPr="00C113D0" w:rsidRDefault="0090322B" w:rsidP="0090322B">
            <w:pPr>
              <w:contextualSpacing/>
            </w:pPr>
            <w:r w:rsidRPr="00C113D0">
              <w:t>Add ARRL 5</w:t>
            </w:r>
            <w:r>
              <w:t>-</w:t>
            </w:r>
            <w:r w:rsidRPr="00C113D0">
              <w:t>B</w:t>
            </w:r>
            <w:r>
              <w:t>and awards (DXCC</w:t>
            </w:r>
            <w:r w:rsidRPr="00C113D0">
              <w:t>)</w:t>
            </w:r>
          </w:p>
        </w:tc>
        <w:tc>
          <w:tcPr>
            <w:tcW w:w="527" w:type="pct"/>
            <w:vAlign w:val="center"/>
          </w:tcPr>
          <w:p w:rsidR="0090322B" w:rsidRPr="00C113D0" w:rsidRDefault="0090322B" w:rsidP="0090322B">
            <w:pPr>
              <w:jc w:val="center"/>
            </w:pPr>
            <w:r w:rsidRPr="0047179A">
              <w:t>Construction</w:t>
            </w:r>
          </w:p>
        </w:tc>
        <w:tc>
          <w:tcPr>
            <w:tcW w:w="552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50%</w:t>
            </w:r>
          </w:p>
        </w:tc>
        <w:tc>
          <w:tcPr>
            <w:tcW w:w="928" w:type="pct"/>
            <w:vAlign w:val="center"/>
          </w:tcPr>
          <w:p w:rsidR="0090322B" w:rsidRPr="006D0933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0.50 </w:t>
            </w:r>
          </w:p>
        </w:tc>
      </w:tr>
      <w:tr w:rsidR="0090322B" w:rsidTr="00F865BE">
        <w:tc>
          <w:tcPr>
            <w:tcW w:w="612" w:type="pct"/>
            <w:tcBorders>
              <w:left w:val="nil"/>
              <w:bottom w:val="nil"/>
              <w:right w:val="nil"/>
            </w:tcBorders>
            <w:vAlign w:val="center"/>
          </w:tcPr>
          <w:p w:rsidR="0090322B" w:rsidRPr="00C113D0" w:rsidRDefault="0090322B" w:rsidP="0090322B">
            <w:pPr>
              <w:jc w:val="center"/>
            </w:pPr>
          </w:p>
        </w:tc>
        <w:tc>
          <w:tcPr>
            <w:tcW w:w="236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0322B" w:rsidRPr="00C113D0" w:rsidRDefault="0090322B" w:rsidP="0090322B"/>
        </w:tc>
        <w:tc>
          <w:tcPr>
            <w:tcW w:w="541" w:type="pct"/>
            <w:gridSpan w:val="2"/>
            <w:tcBorders>
              <w:left w:val="nil"/>
              <w:bottom w:val="nil"/>
            </w:tcBorders>
            <w:vAlign w:val="center"/>
          </w:tcPr>
          <w:p w:rsidR="0090322B" w:rsidRDefault="0090322B" w:rsidP="0090322B">
            <w:pPr>
              <w:jc w:val="center"/>
              <w:rPr>
                <w:color w:val="008000"/>
              </w:rPr>
            </w:pPr>
          </w:p>
        </w:tc>
        <w:tc>
          <w:tcPr>
            <w:tcW w:w="552" w:type="pct"/>
            <w:vAlign w:val="center"/>
          </w:tcPr>
          <w:p w:rsidR="0090322B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 Effort</w:t>
            </w:r>
          </w:p>
        </w:tc>
        <w:tc>
          <w:tcPr>
            <w:tcW w:w="928" w:type="pct"/>
            <w:vAlign w:val="center"/>
          </w:tcPr>
          <w:p w:rsidR="0090322B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20.6</w:t>
            </w:r>
          </w:p>
        </w:tc>
      </w:tr>
      <w:tr w:rsidR="0090322B" w:rsidTr="00F865BE">
        <w:trPr>
          <w:trHeight w:val="332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22B" w:rsidRPr="00C113D0" w:rsidRDefault="0090322B" w:rsidP="0090322B">
            <w:pPr>
              <w:jc w:val="center"/>
            </w:pPr>
          </w:p>
        </w:tc>
        <w:tc>
          <w:tcPr>
            <w:tcW w:w="23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22B" w:rsidRPr="00C113D0" w:rsidRDefault="0090322B" w:rsidP="0090322B"/>
        </w:tc>
        <w:tc>
          <w:tcPr>
            <w:tcW w:w="54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322B" w:rsidRDefault="0090322B" w:rsidP="0090322B">
            <w:pPr>
              <w:jc w:val="center"/>
              <w:rPr>
                <w:color w:val="008000"/>
              </w:rPr>
            </w:pPr>
          </w:p>
        </w:tc>
        <w:tc>
          <w:tcPr>
            <w:tcW w:w="552" w:type="pct"/>
            <w:vAlign w:val="center"/>
          </w:tcPr>
          <w:p w:rsidR="0090322B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Available Effort</w:t>
            </w:r>
          </w:p>
        </w:tc>
        <w:tc>
          <w:tcPr>
            <w:tcW w:w="928" w:type="pct"/>
            <w:vAlign w:val="center"/>
          </w:tcPr>
          <w:p w:rsidR="0090322B" w:rsidRDefault="007523A7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  <w:r w:rsidR="0090322B">
              <w:rPr>
                <w:rFonts w:asciiTheme="majorHAnsi" w:hAnsiTheme="majorHAnsi"/>
                <w:sz w:val="18"/>
                <w:szCs w:val="18"/>
              </w:rPr>
              <w:fldChar w:fldCharType="begin"/>
            </w:r>
            <w:r w:rsidR="0090322B">
              <w:rPr>
                <w:rFonts w:asciiTheme="majorHAnsi" w:hAnsiTheme="majorHAnsi"/>
                <w:sz w:val="18"/>
                <w:szCs w:val="18"/>
              </w:rPr>
              <w:instrText xml:space="preserve"> 12*2.25*0.85 </w:instrText>
            </w:r>
            <w:r w:rsidR="0090322B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90322B" w:rsidRPr="00E21AE2" w:rsidTr="00F865BE"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22B" w:rsidRPr="00C113D0" w:rsidRDefault="0090322B" w:rsidP="0090322B">
            <w:pPr>
              <w:jc w:val="center"/>
            </w:pPr>
          </w:p>
        </w:tc>
        <w:tc>
          <w:tcPr>
            <w:tcW w:w="23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22B" w:rsidRPr="00C113D0" w:rsidRDefault="0090322B" w:rsidP="0090322B"/>
        </w:tc>
        <w:tc>
          <w:tcPr>
            <w:tcW w:w="54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0322B" w:rsidRDefault="0090322B" w:rsidP="0090322B">
            <w:pPr>
              <w:jc w:val="center"/>
              <w:rPr>
                <w:color w:val="008000"/>
              </w:rPr>
            </w:pPr>
          </w:p>
        </w:tc>
        <w:tc>
          <w:tcPr>
            <w:tcW w:w="552" w:type="pct"/>
            <w:vAlign w:val="center"/>
          </w:tcPr>
          <w:p w:rsidR="0090322B" w:rsidRDefault="0090322B" w:rsidP="0090322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Commitments</w:t>
            </w:r>
          </w:p>
        </w:tc>
        <w:tc>
          <w:tcPr>
            <w:tcW w:w="928" w:type="pct"/>
            <w:vAlign w:val="center"/>
          </w:tcPr>
          <w:p w:rsidR="0090322B" w:rsidRPr="00A5428B" w:rsidRDefault="00CB06B9" w:rsidP="00CB06B9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CB06B9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74%</w:t>
            </w:r>
          </w:p>
        </w:tc>
      </w:tr>
    </w:tbl>
    <w:p w:rsidR="006F4D6F" w:rsidRDefault="006F4D6F" w:rsidP="006F4D6F"/>
    <w:p w:rsidR="006F4D6F" w:rsidRDefault="006F4D6F" w:rsidP="006F4D6F">
      <w:pPr>
        <w:pStyle w:val="Caption"/>
        <w:keepNext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br w:type="page"/>
      </w:r>
    </w:p>
    <w:p w:rsidR="00716AC4" w:rsidRDefault="00716AC4" w:rsidP="00B927B3">
      <w:pPr>
        <w:pStyle w:val="Caption"/>
        <w:keepNext/>
        <w:jc w:val="center"/>
        <w:rPr>
          <w:color w:val="auto"/>
          <w:sz w:val="36"/>
          <w:szCs w:val="36"/>
        </w:rPr>
      </w:pPr>
    </w:p>
    <w:p w:rsidR="00B927B3" w:rsidRDefault="00B927B3" w:rsidP="00B927B3">
      <w:pPr>
        <w:pStyle w:val="Caption"/>
        <w:keepNext/>
        <w:jc w:val="center"/>
        <w:rPr>
          <w:color w:val="auto"/>
          <w:sz w:val="36"/>
          <w:szCs w:val="36"/>
        </w:rPr>
      </w:pPr>
      <w:r w:rsidRPr="006B69D9">
        <w:rPr>
          <w:color w:val="auto"/>
          <w:sz w:val="36"/>
          <w:szCs w:val="36"/>
        </w:rPr>
        <w:t xml:space="preserve">Table </w:t>
      </w:r>
      <w:r>
        <w:rPr>
          <w:color w:val="auto"/>
          <w:sz w:val="36"/>
          <w:szCs w:val="36"/>
        </w:rPr>
        <w:t>1 — IT Project Status (</w:t>
      </w:r>
      <w:r w:rsidR="007F73ED">
        <w:rPr>
          <w:color w:val="auto"/>
          <w:sz w:val="36"/>
          <w:szCs w:val="36"/>
        </w:rPr>
        <w:t>January 2016</w:t>
      </w:r>
      <w:r w:rsidRPr="006B69D9">
        <w:rPr>
          <w:color w:val="auto"/>
          <w:sz w:val="36"/>
          <w:szCs w:val="36"/>
        </w:rPr>
        <w:t>)</w:t>
      </w:r>
      <w:r>
        <w:rPr>
          <w:color w:val="auto"/>
          <w:sz w:val="36"/>
          <w:szCs w:val="36"/>
        </w:rPr>
        <w:t xml:space="preserve"> – cont.</w:t>
      </w:r>
    </w:p>
    <w:p w:rsidR="006F4D6F" w:rsidRPr="006B69D9" w:rsidRDefault="006F4D6F" w:rsidP="006F4D6F">
      <w:pPr>
        <w:pStyle w:val="Caption"/>
        <w:keepNext/>
        <w:jc w:val="center"/>
        <w:rPr>
          <w:color w:val="auto"/>
          <w:sz w:val="36"/>
          <w:szCs w:val="36"/>
        </w:rPr>
      </w:pPr>
      <w:r w:rsidRPr="006B69D9">
        <w:rPr>
          <w:color w:val="auto"/>
          <w:sz w:val="36"/>
          <w:szCs w:val="36"/>
        </w:rPr>
        <w:t xml:space="preserve">Table </w:t>
      </w:r>
      <w:r>
        <w:rPr>
          <w:color w:val="auto"/>
          <w:sz w:val="36"/>
          <w:szCs w:val="36"/>
        </w:rPr>
        <w:t>1c — Infrastructure Projects (</w:t>
      </w:r>
      <w:r w:rsidR="007F73ED">
        <w:rPr>
          <w:color w:val="auto"/>
          <w:sz w:val="36"/>
          <w:szCs w:val="36"/>
        </w:rPr>
        <w:t>January 2016</w:t>
      </w:r>
      <w:r w:rsidRPr="006B69D9">
        <w:rPr>
          <w:color w:val="auto"/>
          <w:sz w:val="36"/>
          <w:szCs w:val="36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5"/>
        <w:gridCol w:w="18"/>
        <w:gridCol w:w="6112"/>
        <w:gridCol w:w="36"/>
        <w:gridCol w:w="1366"/>
        <w:gridCol w:w="1466"/>
        <w:gridCol w:w="2367"/>
      </w:tblGrid>
      <w:tr w:rsidR="006F4D6F" w:rsidRPr="00436514" w:rsidTr="005F7816">
        <w:tc>
          <w:tcPr>
            <w:tcW w:w="619" w:type="pct"/>
            <w:gridSpan w:val="2"/>
            <w:vMerge w:val="restar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Priority</w:t>
            </w:r>
          </w:p>
        </w:tc>
        <w:tc>
          <w:tcPr>
            <w:tcW w:w="2374" w:type="pct"/>
            <w:gridSpan w:val="2"/>
            <w:vMerge w:val="restar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 w:rsidRPr="00436514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527" w:type="pct"/>
            <w:vMerge w:val="restar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</w:t>
            </w:r>
          </w:p>
        </w:tc>
        <w:tc>
          <w:tcPr>
            <w:tcW w:w="1480" w:type="pct"/>
            <w:gridSpan w:val="2"/>
            <w:vAlign w:val="center"/>
          </w:tcPr>
          <w:p w:rsidR="006F4D6F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6F4D6F" w:rsidRPr="00436514" w:rsidTr="005F7816">
        <w:tc>
          <w:tcPr>
            <w:tcW w:w="619" w:type="pct"/>
            <w:gridSpan w:val="2"/>
            <w:vMerge/>
          </w:tcPr>
          <w:p w:rsidR="006F4D6F" w:rsidRPr="00436514" w:rsidRDefault="006F4D6F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2374" w:type="pct"/>
            <w:gridSpan w:val="2"/>
            <w:vMerge/>
          </w:tcPr>
          <w:p w:rsidR="006F4D6F" w:rsidRPr="00436514" w:rsidRDefault="006F4D6F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pct"/>
            <w:vMerge/>
          </w:tcPr>
          <w:p w:rsidR="006F4D6F" w:rsidRDefault="006F4D6F" w:rsidP="00AA6D3E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</w:t>
            </w:r>
          </w:p>
        </w:tc>
        <w:tc>
          <w:tcPr>
            <w:tcW w:w="914" w:type="pct"/>
            <w:vAlign w:val="center"/>
          </w:tcPr>
          <w:p w:rsidR="006F4D6F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ETC — Effort</w:t>
            </w:r>
          </w:p>
          <w:p w:rsidR="006F4D6F" w:rsidRPr="00436514" w:rsidRDefault="006F4D6F" w:rsidP="00AA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(person-months)</w:t>
            </w:r>
          </w:p>
        </w:tc>
      </w:tr>
      <w:tr w:rsidR="00484101" w:rsidRPr="00C113D0" w:rsidTr="005F7816">
        <w:tc>
          <w:tcPr>
            <w:tcW w:w="619" w:type="pct"/>
            <w:gridSpan w:val="2"/>
            <w:vAlign w:val="center"/>
          </w:tcPr>
          <w:p w:rsidR="00484101" w:rsidRPr="00C113D0" w:rsidRDefault="00484101" w:rsidP="00AA6D3E">
            <w:pPr>
              <w:jc w:val="center"/>
            </w:pPr>
            <w:r>
              <w:t>High (2015)</w:t>
            </w:r>
          </w:p>
        </w:tc>
        <w:tc>
          <w:tcPr>
            <w:tcW w:w="2374" w:type="pct"/>
            <w:gridSpan w:val="2"/>
            <w:vAlign w:val="center"/>
          </w:tcPr>
          <w:p w:rsidR="00484101" w:rsidRPr="00C113D0" w:rsidRDefault="00484101" w:rsidP="00484101">
            <w:r>
              <w:t>Upgrade MS Great Plains to latest</w:t>
            </w:r>
          </w:p>
        </w:tc>
        <w:tc>
          <w:tcPr>
            <w:tcW w:w="527" w:type="pct"/>
            <w:vAlign w:val="center"/>
          </w:tcPr>
          <w:p w:rsidR="00484101" w:rsidRDefault="00D67A88" w:rsidP="00E21AE2">
            <w:pPr>
              <w:jc w:val="center"/>
              <w:rPr>
                <w:color w:val="FF0000"/>
              </w:rPr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484101" w:rsidRDefault="00D67A88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484101" w:rsidRDefault="00D67A88" w:rsidP="00AA6D3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E21AE2" w:rsidRPr="00C113D0" w:rsidTr="005F7816">
        <w:tc>
          <w:tcPr>
            <w:tcW w:w="619" w:type="pct"/>
            <w:gridSpan w:val="2"/>
          </w:tcPr>
          <w:p w:rsidR="00E21AE2" w:rsidRDefault="00E21AE2" w:rsidP="00E21AE2">
            <w:pPr>
              <w:jc w:val="center"/>
            </w:pPr>
            <w:r w:rsidRPr="00142D4B">
              <w:t>High (2015)</w:t>
            </w:r>
          </w:p>
        </w:tc>
        <w:tc>
          <w:tcPr>
            <w:tcW w:w="2374" w:type="pct"/>
            <w:gridSpan w:val="2"/>
            <w:vAlign w:val="center"/>
          </w:tcPr>
          <w:p w:rsidR="00E21AE2" w:rsidRDefault="00E21AE2" w:rsidP="00E21AE2">
            <w:r>
              <w:t>Install boundary firewall</w:t>
            </w:r>
          </w:p>
        </w:tc>
        <w:tc>
          <w:tcPr>
            <w:tcW w:w="527" w:type="pct"/>
          </w:tcPr>
          <w:p w:rsidR="00E21AE2" w:rsidRDefault="005F7816" w:rsidP="00E21AE2">
            <w:pPr>
              <w:jc w:val="center"/>
            </w:pPr>
            <w:r w:rsidRPr="005F7816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E21AE2" w:rsidRDefault="005F7816" w:rsidP="00E21AE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  <w:r w:rsidR="00E21AE2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4" w:type="pct"/>
            <w:vAlign w:val="center"/>
          </w:tcPr>
          <w:p w:rsidR="00E21AE2" w:rsidRDefault="005F7816" w:rsidP="00E21AE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E21AE2" w:rsidRPr="00C113D0" w:rsidTr="005F7816">
        <w:tc>
          <w:tcPr>
            <w:tcW w:w="619" w:type="pct"/>
            <w:gridSpan w:val="2"/>
          </w:tcPr>
          <w:p w:rsidR="00E21AE2" w:rsidRDefault="00E21AE2" w:rsidP="00E21AE2">
            <w:pPr>
              <w:jc w:val="center"/>
            </w:pPr>
            <w:r w:rsidRPr="00142D4B">
              <w:t>High (2015)</w:t>
            </w:r>
          </w:p>
        </w:tc>
        <w:tc>
          <w:tcPr>
            <w:tcW w:w="2374" w:type="pct"/>
            <w:gridSpan w:val="2"/>
            <w:vAlign w:val="center"/>
          </w:tcPr>
          <w:p w:rsidR="00E21AE2" w:rsidRDefault="00E21AE2" w:rsidP="00E21AE2">
            <w:r>
              <w:t>Install perimeter firewall</w:t>
            </w:r>
          </w:p>
        </w:tc>
        <w:tc>
          <w:tcPr>
            <w:tcW w:w="527" w:type="pct"/>
          </w:tcPr>
          <w:p w:rsidR="00E21AE2" w:rsidRDefault="00603460" w:rsidP="00E21AE2">
            <w:pPr>
              <w:jc w:val="center"/>
            </w:pPr>
            <w:r w:rsidRPr="00716AC4">
              <w:t>Construction</w:t>
            </w:r>
          </w:p>
        </w:tc>
        <w:tc>
          <w:tcPr>
            <w:tcW w:w="566" w:type="pct"/>
            <w:vAlign w:val="center"/>
          </w:tcPr>
          <w:p w:rsidR="00E21AE2" w:rsidRDefault="005F7816" w:rsidP="00E21AE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="00603460">
              <w:rPr>
                <w:rFonts w:asciiTheme="majorHAnsi" w:hAnsiTheme="majorHAnsi"/>
                <w:sz w:val="18"/>
                <w:szCs w:val="18"/>
              </w:rPr>
              <w:t>5</w:t>
            </w:r>
            <w:r w:rsidR="00E21AE2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914" w:type="pct"/>
            <w:vAlign w:val="center"/>
          </w:tcPr>
          <w:p w:rsidR="00E21AE2" w:rsidRDefault="005F7816" w:rsidP="00E21AE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0.1</w:t>
            </w:r>
          </w:p>
        </w:tc>
      </w:tr>
      <w:tr w:rsidR="00782124" w:rsidRPr="00C113D0" w:rsidTr="005F7816">
        <w:tc>
          <w:tcPr>
            <w:tcW w:w="619" w:type="pct"/>
            <w:gridSpan w:val="2"/>
            <w:vAlign w:val="center"/>
          </w:tcPr>
          <w:p w:rsidR="00782124" w:rsidRPr="00C113D0" w:rsidRDefault="00782124" w:rsidP="00782124">
            <w:pPr>
              <w:jc w:val="center"/>
            </w:pPr>
            <w:r>
              <w:t>High (2015)</w:t>
            </w:r>
          </w:p>
        </w:tc>
        <w:tc>
          <w:tcPr>
            <w:tcW w:w="2374" w:type="pct"/>
            <w:gridSpan w:val="2"/>
            <w:vAlign w:val="center"/>
          </w:tcPr>
          <w:p w:rsidR="00782124" w:rsidRDefault="00782124" w:rsidP="00782124">
            <w:r>
              <w:t>Upgrade McAfee anti-virus/anti-malware protection suite</w:t>
            </w:r>
          </w:p>
        </w:tc>
        <w:tc>
          <w:tcPr>
            <w:tcW w:w="527" w:type="pct"/>
          </w:tcPr>
          <w:p w:rsidR="00782124" w:rsidRDefault="0047179A" w:rsidP="00782124">
            <w:pPr>
              <w:jc w:val="center"/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782124" w:rsidRDefault="0047179A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782124" w:rsidRDefault="0047179A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5F7816" w:rsidRPr="00C113D0" w:rsidTr="005F7816">
        <w:tc>
          <w:tcPr>
            <w:tcW w:w="619" w:type="pct"/>
            <w:gridSpan w:val="2"/>
          </w:tcPr>
          <w:p w:rsidR="005F7816" w:rsidRDefault="005F7816" w:rsidP="005F7816">
            <w:pPr>
              <w:jc w:val="center"/>
            </w:pPr>
            <w:r w:rsidRPr="00142D4B">
              <w:t>High (2015)</w:t>
            </w:r>
          </w:p>
        </w:tc>
        <w:tc>
          <w:tcPr>
            <w:tcW w:w="2374" w:type="pct"/>
            <w:gridSpan w:val="2"/>
            <w:vAlign w:val="center"/>
          </w:tcPr>
          <w:p w:rsidR="005F7816" w:rsidRDefault="005F7816" w:rsidP="005F7816">
            <w:r>
              <w:t>Deploy McAfee Complete Endpoint Protection module</w:t>
            </w:r>
          </w:p>
        </w:tc>
        <w:tc>
          <w:tcPr>
            <w:tcW w:w="527" w:type="pct"/>
          </w:tcPr>
          <w:p w:rsidR="005F7816" w:rsidRDefault="005F7816" w:rsidP="005F7816">
            <w:pPr>
              <w:jc w:val="center"/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5F7816" w:rsidRPr="00C113D0" w:rsidTr="005F7816">
        <w:tc>
          <w:tcPr>
            <w:tcW w:w="619" w:type="pct"/>
            <w:gridSpan w:val="2"/>
          </w:tcPr>
          <w:p w:rsidR="005F7816" w:rsidRDefault="005F7816" w:rsidP="005F7816">
            <w:pPr>
              <w:jc w:val="center"/>
            </w:pPr>
            <w:r w:rsidRPr="00142D4B">
              <w:t>High (2015)</w:t>
            </w:r>
          </w:p>
        </w:tc>
        <w:tc>
          <w:tcPr>
            <w:tcW w:w="2374" w:type="pct"/>
            <w:gridSpan w:val="2"/>
            <w:vAlign w:val="center"/>
          </w:tcPr>
          <w:p w:rsidR="005F7816" w:rsidRDefault="005F7816" w:rsidP="005F7816">
            <w:r>
              <w:t>Deploy McAfee Web Security module</w:t>
            </w:r>
          </w:p>
        </w:tc>
        <w:tc>
          <w:tcPr>
            <w:tcW w:w="527" w:type="pct"/>
          </w:tcPr>
          <w:p w:rsidR="005F7816" w:rsidRDefault="005F7816" w:rsidP="005F7816">
            <w:pPr>
              <w:jc w:val="center"/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782124" w:rsidRPr="00C113D0" w:rsidTr="005F7816">
        <w:tc>
          <w:tcPr>
            <w:tcW w:w="619" w:type="pct"/>
            <w:gridSpan w:val="2"/>
          </w:tcPr>
          <w:p w:rsidR="00782124" w:rsidRPr="00142D4B" w:rsidRDefault="00782124" w:rsidP="00782124">
            <w:pPr>
              <w:jc w:val="center"/>
            </w:pPr>
            <w:r>
              <w:t xml:space="preserve">High (2015) </w:t>
            </w:r>
          </w:p>
        </w:tc>
        <w:tc>
          <w:tcPr>
            <w:tcW w:w="2374" w:type="pct"/>
            <w:gridSpan w:val="2"/>
            <w:vAlign w:val="center"/>
          </w:tcPr>
          <w:p w:rsidR="00782124" w:rsidRDefault="00782124" w:rsidP="00782124">
            <w:r>
              <w:t>Security / vulnerability assessment by external consultant</w:t>
            </w:r>
          </w:p>
        </w:tc>
        <w:tc>
          <w:tcPr>
            <w:tcW w:w="527" w:type="pct"/>
          </w:tcPr>
          <w:p w:rsidR="00782124" w:rsidRPr="00803451" w:rsidRDefault="00D67A88" w:rsidP="00782124">
            <w:pPr>
              <w:jc w:val="center"/>
              <w:rPr>
                <w:color w:val="800000"/>
              </w:rPr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782124" w:rsidRDefault="00D67A88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782124" w:rsidRDefault="00D67A88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A5428B" w:rsidRPr="00C113D0" w:rsidTr="005F7816">
        <w:tc>
          <w:tcPr>
            <w:tcW w:w="619" w:type="pct"/>
            <w:gridSpan w:val="2"/>
          </w:tcPr>
          <w:p w:rsidR="00A5428B" w:rsidRDefault="00A5428B" w:rsidP="00782124">
            <w:pPr>
              <w:jc w:val="center"/>
            </w:pPr>
            <w:r>
              <w:t>High</w:t>
            </w:r>
          </w:p>
        </w:tc>
        <w:tc>
          <w:tcPr>
            <w:tcW w:w="2374" w:type="pct"/>
            <w:gridSpan w:val="2"/>
            <w:vAlign w:val="center"/>
          </w:tcPr>
          <w:p w:rsidR="00A5428B" w:rsidRDefault="00A5428B" w:rsidP="00782124">
            <w:r>
              <w:t>Implement migration plans for</w:t>
            </w:r>
            <w:r w:rsidR="00BD112B">
              <w:t xml:space="preserve"> Windows Server 2003 servers</w:t>
            </w:r>
          </w:p>
        </w:tc>
        <w:tc>
          <w:tcPr>
            <w:tcW w:w="527" w:type="pct"/>
          </w:tcPr>
          <w:p w:rsidR="00A5428B" w:rsidRPr="0047179A" w:rsidRDefault="00D67A88" w:rsidP="00782124">
            <w:pPr>
              <w:jc w:val="center"/>
              <w:rPr>
                <w:color w:val="0070C0"/>
              </w:rPr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A5428B" w:rsidRDefault="00D67A88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A5428B" w:rsidRDefault="00D67A88" w:rsidP="0078212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AA6D3E" w:rsidRPr="00C113D0" w:rsidTr="005F7816">
        <w:tc>
          <w:tcPr>
            <w:tcW w:w="619" w:type="pct"/>
            <w:gridSpan w:val="2"/>
          </w:tcPr>
          <w:p w:rsidR="00AA6D3E" w:rsidRDefault="00AA6D3E" w:rsidP="00716AC4">
            <w:pPr>
              <w:jc w:val="center"/>
            </w:pPr>
            <w:r>
              <w:t>Medium</w:t>
            </w:r>
          </w:p>
        </w:tc>
        <w:tc>
          <w:tcPr>
            <w:tcW w:w="2374" w:type="pct"/>
            <w:gridSpan w:val="2"/>
            <w:vAlign w:val="center"/>
          </w:tcPr>
          <w:p w:rsidR="00AA6D3E" w:rsidRDefault="00AA6D3E" w:rsidP="00716AC4">
            <w:r>
              <w:t>Configure &amp; deploy Network Monitoring Center</w:t>
            </w:r>
          </w:p>
        </w:tc>
        <w:tc>
          <w:tcPr>
            <w:tcW w:w="527" w:type="pct"/>
          </w:tcPr>
          <w:p w:rsidR="00AA6D3E" w:rsidRPr="00803451" w:rsidRDefault="005F7816" w:rsidP="00716AC4">
            <w:pPr>
              <w:jc w:val="center"/>
              <w:rPr>
                <w:color w:val="800000"/>
              </w:rPr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AA6D3E" w:rsidRDefault="00D67A88" w:rsidP="00716AC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AA6D3E" w:rsidRDefault="00D67A88" w:rsidP="00716AC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5F7816" w:rsidRPr="00C113D0" w:rsidTr="005F7816">
        <w:tc>
          <w:tcPr>
            <w:tcW w:w="619" w:type="pct"/>
            <w:gridSpan w:val="2"/>
          </w:tcPr>
          <w:p w:rsidR="005F7816" w:rsidRPr="00142D4B" w:rsidRDefault="005F7816" w:rsidP="005F7816">
            <w:pPr>
              <w:jc w:val="center"/>
            </w:pPr>
            <w:r>
              <w:t xml:space="preserve">Medium (2015) </w:t>
            </w:r>
          </w:p>
        </w:tc>
        <w:tc>
          <w:tcPr>
            <w:tcW w:w="2374" w:type="pct"/>
            <w:gridSpan w:val="2"/>
            <w:vAlign w:val="center"/>
          </w:tcPr>
          <w:p w:rsidR="005F7816" w:rsidRDefault="005F7816" w:rsidP="005F7816">
            <w:r>
              <w:t>Deploy McAfee Host Intrusion Prevention s/w</w:t>
            </w:r>
          </w:p>
        </w:tc>
        <w:tc>
          <w:tcPr>
            <w:tcW w:w="527" w:type="pct"/>
          </w:tcPr>
          <w:p w:rsidR="005F7816" w:rsidRDefault="005F7816" w:rsidP="005F7816">
            <w:pPr>
              <w:jc w:val="center"/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5F7816" w:rsidRPr="00C113D0" w:rsidTr="005F7816">
        <w:tc>
          <w:tcPr>
            <w:tcW w:w="619" w:type="pct"/>
            <w:gridSpan w:val="2"/>
          </w:tcPr>
          <w:p w:rsidR="005F7816" w:rsidRDefault="005F7816" w:rsidP="005F7816">
            <w:pPr>
              <w:jc w:val="center"/>
            </w:pPr>
            <w:r>
              <w:t>Medium (2015)</w:t>
            </w:r>
          </w:p>
        </w:tc>
        <w:tc>
          <w:tcPr>
            <w:tcW w:w="2374" w:type="pct"/>
            <w:gridSpan w:val="2"/>
            <w:vAlign w:val="center"/>
          </w:tcPr>
          <w:p w:rsidR="005F7816" w:rsidRDefault="005F7816" w:rsidP="005F7816">
            <w:r>
              <w:t>Deploy security policy changes to HQ servers</w:t>
            </w:r>
          </w:p>
        </w:tc>
        <w:tc>
          <w:tcPr>
            <w:tcW w:w="527" w:type="pct"/>
          </w:tcPr>
          <w:p w:rsidR="005F7816" w:rsidRPr="00716AC4" w:rsidRDefault="005F7816" w:rsidP="005F7816">
            <w:pPr>
              <w:jc w:val="center"/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5F7816" w:rsidRDefault="005F7816" w:rsidP="005F7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7523A7" w:rsidRPr="00C113D0" w:rsidTr="005F7816">
        <w:tc>
          <w:tcPr>
            <w:tcW w:w="619" w:type="pct"/>
            <w:gridSpan w:val="2"/>
            <w:vAlign w:val="center"/>
          </w:tcPr>
          <w:p w:rsidR="007523A7" w:rsidRPr="00C113D0" w:rsidRDefault="007523A7" w:rsidP="007523A7">
            <w:pPr>
              <w:jc w:val="center"/>
            </w:pPr>
            <w:r>
              <w:t>Medium (2016)</w:t>
            </w:r>
          </w:p>
        </w:tc>
        <w:tc>
          <w:tcPr>
            <w:tcW w:w="2374" w:type="pct"/>
            <w:gridSpan w:val="2"/>
            <w:vAlign w:val="center"/>
          </w:tcPr>
          <w:p w:rsidR="007523A7" w:rsidRPr="00C113D0" w:rsidRDefault="007523A7" w:rsidP="007523A7">
            <w:r>
              <w:t>Deploy security policy changes to HQ desktop users</w:t>
            </w:r>
          </w:p>
        </w:tc>
        <w:tc>
          <w:tcPr>
            <w:tcW w:w="527" w:type="pct"/>
            <w:vAlign w:val="center"/>
          </w:tcPr>
          <w:p w:rsidR="007523A7" w:rsidRDefault="007523A7" w:rsidP="007523A7">
            <w:pPr>
              <w:jc w:val="center"/>
              <w:rPr>
                <w:color w:val="FF0000"/>
              </w:rPr>
            </w:pPr>
            <w:r>
              <w:rPr>
                <w:color w:val="008000"/>
              </w:rPr>
              <w:t>Transition</w:t>
            </w:r>
          </w:p>
        </w:tc>
        <w:tc>
          <w:tcPr>
            <w:tcW w:w="566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90%</w:t>
            </w:r>
          </w:p>
        </w:tc>
        <w:tc>
          <w:tcPr>
            <w:tcW w:w="914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0.25</w:t>
            </w:r>
          </w:p>
        </w:tc>
      </w:tr>
      <w:tr w:rsidR="007523A7" w:rsidRPr="00C113D0" w:rsidTr="005F7816">
        <w:tc>
          <w:tcPr>
            <w:tcW w:w="619" w:type="pct"/>
            <w:gridSpan w:val="2"/>
            <w:vAlign w:val="center"/>
          </w:tcPr>
          <w:p w:rsidR="007523A7" w:rsidRPr="00C113D0" w:rsidRDefault="007523A7" w:rsidP="007523A7">
            <w:pPr>
              <w:jc w:val="center"/>
            </w:pPr>
            <w:r w:rsidRPr="00C113D0">
              <w:t>Low</w:t>
            </w:r>
            <w:r>
              <w:t xml:space="preserve"> (2014)</w:t>
            </w:r>
          </w:p>
        </w:tc>
        <w:tc>
          <w:tcPr>
            <w:tcW w:w="2374" w:type="pct"/>
            <w:gridSpan w:val="2"/>
            <w:vAlign w:val="center"/>
          </w:tcPr>
          <w:p w:rsidR="007523A7" w:rsidRPr="00C113D0" w:rsidRDefault="007523A7" w:rsidP="007523A7">
            <w:r w:rsidRPr="00C113D0">
              <w:t>Upgrade HW desktop systems to MS Office 2013 / Office 365</w:t>
            </w:r>
          </w:p>
        </w:tc>
        <w:tc>
          <w:tcPr>
            <w:tcW w:w="527" w:type="pct"/>
            <w:vAlign w:val="center"/>
          </w:tcPr>
          <w:p w:rsidR="007523A7" w:rsidRPr="00D67A88" w:rsidRDefault="007523A7" w:rsidP="007523A7">
            <w:pPr>
              <w:jc w:val="center"/>
            </w:pPr>
            <w:r w:rsidRPr="0047179A">
              <w:rPr>
                <w:color w:val="0070C0"/>
              </w:rPr>
              <w:t>Complete</w:t>
            </w:r>
          </w:p>
        </w:tc>
        <w:tc>
          <w:tcPr>
            <w:tcW w:w="566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100%</w:t>
            </w:r>
          </w:p>
        </w:tc>
        <w:tc>
          <w:tcPr>
            <w:tcW w:w="914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N/A</w:t>
            </w:r>
          </w:p>
        </w:tc>
      </w:tr>
      <w:tr w:rsidR="007523A7" w:rsidTr="005F7816">
        <w:tc>
          <w:tcPr>
            <w:tcW w:w="612" w:type="pct"/>
            <w:tcBorders>
              <w:left w:val="nil"/>
              <w:bottom w:val="nil"/>
              <w:right w:val="nil"/>
            </w:tcBorders>
            <w:vAlign w:val="center"/>
          </w:tcPr>
          <w:p w:rsidR="007523A7" w:rsidRPr="00C113D0" w:rsidRDefault="007523A7" w:rsidP="007523A7">
            <w:pPr>
              <w:jc w:val="center"/>
            </w:pPr>
          </w:p>
        </w:tc>
        <w:tc>
          <w:tcPr>
            <w:tcW w:w="236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523A7" w:rsidRPr="00C113D0" w:rsidRDefault="007523A7" w:rsidP="007523A7"/>
        </w:tc>
        <w:tc>
          <w:tcPr>
            <w:tcW w:w="541" w:type="pct"/>
            <w:gridSpan w:val="2"/>
            <w:tcBorders>
              <w:left w:val="nil"/>
              <w:bottom w:val="nil"/>
            </w:tcBorders>
            <w:vAlign w:val="center"/>
          </w:tcPr>
          <w:p w:rsidR="007523A7" w:rsidRDefault="007523A7" w:rsidP="007523A7">
            <w:pPr>
              <w:jc w:val="center"/>
              <w:rPr>
                <w:color w:val="008000"/>
              </w:rPr>
            </w:pPr>
          </w:p>
        </w:tc>
        <w:tc>
          <w:tcPr>
            <w:tcW w:w="566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Total Effort</w:t>
            </w:r>
          </w:p>
        </w:tc>
        <w:tc>
          <w:tcPr>
            <w:tcW w:w="914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.35</w:t>
            </w:r>
          </w:p>
        </w:tc>
      </w:tr>
      <w:tr w:rsidR="007523A7" w:rsidTr="005F7816">
        <w:trPr>
          <w:trHeight w:val="332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3A7" w:rsidRPr="00C113D0" w:rsidRDefault="007523A7" w:rsidP="007523A7">
            <w:pPr>
              <w:jc w:val="center"/>
            </w:pPr>
          </w:p>
        </w:tc>
        <w:tc>
          <w:tcPr>
            <w:tcW w:w="23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3A7" w:rsidRPr="00C113D0" w:rsidRDefault="007523A7" w:rsidP="007523A7"/>
        </w:tc>
        <w:tc>
          <w:tcPr>
            <w:tcW w:w="54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523A7" w:rsidRDefault="007523A7" w:rsidP="007523A7">
            <w:pPr>
              <w:jc w:val="center"/>
              <w:rPr>
                <w:color w:val="008000"/>
              </w:rPr>
            </w:pPr>
          </w:p>
        </w:tc>
        <w:tc>
          <w:tcPr>
            <w:tcW w:w="566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Available Effort</w:t>
            </w:r>
          </w:p>
        </w:tc>
        <w:tc>
          <w:tcPr>
            <w:tcW w:w="914" w:type="pct"/>
            <w:vAlign w:val="center"/>
          </w:tcPr>
          <w:p w:rsidR="007523A7" w:rsidRDefault="00CB06B9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</w:tr>
      <w:tr w:rsidR="007523A7" w:rsidRPr="00E21AE2" w:rsidTr="005F7816"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3A7" w:rsidRPr="00C113D0" w:rsidRDefault="007523A7" w:rsidP="007523A7">
            <w:pPr>
              <w:jc w:val="center"/>
            </w:pPr>
          </w:p>
        </w:tc>
        <w:tc>
          <w:tcPr>
            <w:tcW w:w="23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3A7" w:rsidRPr="00C113D0" w:rsidRDefault="007523A7" w:rsidP="007523A7"/>
        </w:tc>
        <w:tc>
          <w:tcPr>
            <w:tcW w:w="54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523A7" w:rsidRDefault="007523A7" w:rsidP="007523A7">
            <w:pPr>
              <w:jc w:val="center"/>
              <w:rPr>
                <w:color w:val="008000"/>
              </w:rPr>
            </w:pPr>
          </w:p>
        </w:tc>
        <w:tc>
          <w:tcPr>
            <w:tcW w:w="566" w:type="pct"/>
            <w:vAlign w:val="center"/>
          </w:tcPr>
          <w:p w:rsidR="007523A7" w:rsidRDefault="007523A7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Commitments</w:t>
            </w:r>
          </w:p>
        </w:tc>
        <w:tc>
          <w:tcPr>
            <w:tcW w:w="914" w:type="pct"/>
            <w:vAlign w:val="center"/>
          </w:tcPr>
          <w:p w:rsidR="007523A7" w:rsidRPr="00E21AE2" w:rsidRDefault="00CB06B9" w:rsidP="007523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7523A7" w:rsidRPr="006846E4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</w:tr>
    </w:tbl>
    <w:p w:rsidR="00716AC4" w:rsidRDefault="00716AC4" w:rsidP="00716AC4"/>
    <w:p w:rsidR="006F4D6F" w:rsidRDefault="006F4D6F" w:rsidP="006F4D6F"/>
    <w:sectPr w:rsidR="006F4D6F" w:rsidSect="006F4D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DE" w:rsidRDefault="00A177DE" w:rsidP="007A078C">
      <w:pPr>
        <w:spacing w:after="0" w:line="240" w:lineRule="auto"/>
      </w:pPr>
      <w:r>
        <w:separator/>
      </w:r>
    </w:p>
  </w:endnote>
  <w:endnote w:type="continuationSeparator" w:id="0">
    <w:p w:rsidR="00A177DE" w:rsidRDefault="00A177DE" w:rsidP="007A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4A" w:rsidRDefault="00DF1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066012"/>
      <w:docPartObj>
        <w:docPartGallery w:val="Page Numbers (Bottom of Page)"/>
        <w:docPartUnique/>
      </w:docPartObj>
    </w:sdtPr>
    <w:sdtEndPr/>
    <w:sdtContent>
      <w:p w:rsidR="00AA6D3E" w:rsidRDefault="00AA6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6D3E" w:rsidRDefault="00AA6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832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6D3E" w:rsidRDefault="00AA6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B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D3E" w:rsidRDefault="00AA6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DE" w:rsidRDefault="00A177DE" w:rsidP="007A078C">
      <w:pPr>
        <w:spacing w:after="0" w:line="240" w:lineRule="auto"/>
      </w:pPr>
      <w:r>
        <w:separator/>
      </w:r>
    </w:p>
  </w:footnote>
  <w:footnote w:type="continuationSeparator" w:id="0">
    <w:p w:rsidR="00A177DE" w:rsidRDefault="00A177DE" w:rsidP="007A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4A" w:rsidRDefault="00DF1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3E" w:rsidRDefault="00AA6D3E">
    <w:pPr>
      <w:pStyle w:val="Header"/>
    </w:pPr>
    <w:r>
      <w:tab/>
    </w:r>
    <w:r>
      <w:tab/>
      <w:t>Michael Keane</w:t>
    </w:r>
  </w:p>
  <w:p w:rsidR="00AA6D3E" w:rsidRDefault="00AA6D3E">
    <w:pPr>
      <w:pStyle w:val="Header"/>
    </w:pPr>
    <w:r>
      <w:tab/>
    </w:r>
    <w:r>
      <w:tab/>
      <w:t>ARRL IT Manager</w:t>
    </w:r>
  </w:p>
  <w:p w:rsidR="00AA6D3E" w:rsidRDefault="00AA6D3E" w:rsidP="005C7180">
    <w:pPr>
      <w:pStyle w:val="Header"/>
    </w:pPr>
    <w:r>
      <w:tab/>
    </w:r>
    <w:r>
      <w:tab/>
    </w:r>
    <w:r>
      <w:fldChar w:fldCharType="begin"/>
    </w:r>
    <w:r>
      <w:instrText xml:space="preserve"> DATE  \@ "d MMMM yyyy"  \* MERGEFORMAT </w:instrText>
    </w:r>
    <w:r>
      <w:fldChar w:fldCharType="separate"/>
    </w:r>
    <w:r w:rsidR="00DF1B4A">
      <w:rPr>
        <w:noProof/>
      </w:rPr>
      <w:t>2 February 2016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4A" w:rsidRDefault="00DF1B4A" w:rsidP="00DF1B4A">
    <w:pPr>
      <w:pStyle w:val="Header"/>
    </w:pPr>
    <w:r>
      <w:rPr>
        <w:sz w:val="24"/>
        <w:szCs w:val="24"/>
      </w:rPr>
      <w:tab/>
    </w:r>
    <w:r>
      <w:rPr>
        <w:sz w:val="24"/>
        <w:szCs w:val="24"/>
      </w:rPr>
      <w:tab/>
    </w:r>
    <w:r>
      <w:t>Michael Keane</w:t>
    </w:r>
  </w:p>
  <w:p w:rsidR="00DF1B4A" w:rsidRDefault="00DF1B4A" w:rsidP="00DF1B4A">
    <w:pPr>
      <w:pStyle w:val="Header"/>
    </w:pPr>
    <w:r>
      <w:tab/>
    </w:r>
    <w:r w:rsidRPr="00DF1B4A">
      <w:rPr>
        <w:sz w:val="24"/>
        <w:szCs w:val="24"/>
      </w:rPr>
      <w:t>A&amp;F Minutes January 14, 2016</w:t>
    </w:r>
    <w:r>
      <w:tab/>
      <w:t>ARRL IT Manager</w:t>
    </w:r>
  </w:p>
  <w:p w:rsidR="00DF1B4A" w:rsidRPr="00DF1B4A" w:rsidRDefault="00DF1B4A" w:rsidP="00DF1B4A">
    <w:pPr>
      <w:pStyle w:val="Header"/>
      <w:jc w:val="center"/>
      <w:rPr>
        <w:sz w:val="24"/>
        <w:szCs w:val="24"/>
      </w:rPr>
    </w:pPr>
    <w:r>
      <w:tab/>
    </w:r>
    <w:bookmarkStart w:id="0" w:name="_GoBack"/>
    <w:bookmarkEnd w:id="0"/>
    <w:r>
      <w:tab/>
    </w:r>
    <w:r>
      <w:fldChar w:fldCharType="begin"/>
    </w:r>
    <w:r>
      <w:instrText xml:space="preserve"> DATE  \@ "d MMMM yyyy"  \* MERGEFORMAT </w:instrText>
    </w:r>
    <w:r>
      <w:fldChar w:fldCharType="separate"/>
    </w:r>
    <w:r>
      <w:rPr>
        <w:noProof/>
      </w:rPr>
      <w:t>2 February 2016</w:t>
    </w:r>
    <w:r>
      <w:fldChar w:fldCharType="end"/>
    </w:r>
  </w:p>
  <w:p w:rsidR="00DF1B4A" w:rsidRPr="00DF1B4A" w:rsidRDefault="00DF1B4A" w:rsidP="00DF1B4A">
    <w:pPr>
      <w:pStyle w:val="Header"/>
      <w:jc w:val="center"/>
      <w:rPr>
        <w:sz w:val="24"/>
        <w:szCs w:val="24"/>
      </w:rPr>
    </w:pPr>
    <w:r w:rsidRPr="00DF1B4A">
      <w:rPr>
        <w:sz w:val="24"/>
        <w:szCs w:val="24"/>
      </w:rPr>
      <w:t>Appendix D</w:t>
    </w:r>
  </w:p>
  <w:p w:rsidR="00AA6D3E" w:rsidRDefault="00AA6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5D1"/>
    <w:multiLevelType w:val="hybridMultilevel"/>
    <w:tmpl w:val="D55824C6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C752CA"/>
    <w:multiLevelType w:val="hybridMultilevel"/>
    <w:tmpl w:val="A52C38A2"/>
    <w:lvl w:ilvl="0" w:tplc="586E0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2C4B"/>
    <w:multiLevelType w:val="hybridMultilevel"/>
    <w:tmpl w:val="9E24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5202"/>
    <w:multiLevelType w:val="hybridMultilevel"/>
    <w:tmpl w:val="8CA8B076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E6F1427"/>
    <w:multiLevelType w:val="hybridMultilevel"/>
    <w:tmpl w:val="B57CF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80B23"/>
    <w:multiLevelType w:val="hybridMultilevel"/>
    <w:tmpl w:val="A52C38A2"/>
    <w:lvl w:ilvl="0" w:tplc="586E0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84777"/>
    <w:multiLevelType w:val="hybridMultilevel"/>
    <w:tmpl w:val="323219D8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14"/>
    <w:rsid w:val="000455EF"/>
    <w:rsid w:val="00056DBD"/>
    <w:rsid w:val="000577C0"/>
    <w:rsid w:val="0006420D"/>
    <w:rsid w:val="00075B9A"/>
    <w:rsid w:val="000846E1"/>
    <w:rsid w:val="000C52DA"/>
    <w:rsid w:val="000D0368"/>
    <w:rsid w:val="000F2D2F"/>
    <w:rsid w:val="001235FC"/>
    <w:rsid w:val="00185651"/>
    <w:rsid w:val="00186B54"/>
    <w:rsid w:val="001D2560"/>
    <w:rsid w:val="002135FB"/>
    <w:rsid w:val="00251EBA"/>
    <w:rsid w:val="00283FCD"/>
    <w:rsid w:val="00290F3D"/>
    <w:rsid w:val="00296B17"/>
    <w:rsid w:val="003014E5"/>
    <w:rsid w:val="00317B32"/>
    <w:rsid w:val="003514F0"/>
    <w:rsid w:val="00375ADA"/>
    <w:rsid w:val="0038251B"/>
    <w:rsid w:val="00392B9F"/>
    <w:rsid w:val="00396FE4"/>
    <w:rsid w:val="00407AD3"/>
    <w:rsid w:val="00436514"/>
    <w:rsid w:val="0047179A"/>
    <w:rsid w:val="00484101"/>
    <w:rsid w:val="00485AA7"/>
    <w:rsid w:val="00496FEB"/>
    <w:rsid w:val="004A2EFD"/>
    <w:rsid w:val="004A422F"/>
    <w:rsid w:val="004C5387"/>
    <w:rsid w:val="004D45DE"/>
    <w:rsid w:val="004E1CBD"/>
    <w:rsid w:val="00526924"/>
    <w:rsid w:val="005B08CC"/>
    <w:rsid w:val="005B1E56"/>
    <w:rsid w:val="005C7180"/>
    <w:rsid w:val="005D343D"/>
    <w:rsid w:val="005F7816"/>
    <w:rsid w:val="00603460"/>
    <w:rsid w:val="00635B42"/>
    <w:rsid w:val="00672801"/>
    <w:rsid w:val="006819B4"/>
    <w:rsid w:val="006846E4"/>
    <w:rsid w:val="006B69D9"/>
    <w:rsid w:val="006D0933"/>
    <w:rsid w:val="006F4D10"/>
    <w:rsid w:val="006F4D6F"/>
    <w:rsid w:val="007145A8"/>
    <w:rsid w:val="00716AC4"/>
    <w:rsid w:val="007238E7"/>
    <w:rsid w:val="007523A7"/>
    <w:rsid w:val="00755949"/>
    <w:rsid w:val="00782124"/>
    <w:rsid w:val="0079189F"/>
    <w:rsid w:val="00794B5E"/>
    <w:rsid w:val="007A078C"/>
    <w:rsid w:val="007B71F1"/>
    <w:rsid w:val="007B7945"/>
    <w:rsid w:val="007E5822"/>
    <w:rsid w:val="007F73ED"/>
    <w:rsid w:val="008031D4"/>
    <w:rsid w:val="00807C15"/>
    <w:rsid w:val="0085189C"/>
    <w:rsid w:val="00855930"/>
    <w:rsid w:val="00875403"/>
    <w:rsid w:val="008807F5"/>
    <w:rsid w:val="008823E0"/>
    <w:rsid w:val="00887105"/>
    <w:rsid w:val="00891BC3"/>
    <w:rsid w:val="00893DD8"/>
    <w:rsid w:val="008B3DA4"/>
    <w:rsid w:val="008D5642"/>
    <w:rsid w:val="008D5FE4"/>
    <w:rsid w:val="0090322B"/>
    <w:rsid w:val="00911008"/>
    <w:rsid w:val="0095012D"/>
    <w:rsid w:val="00950424"/>
    <w:rsid w:val="00976BF3"/>
    <w:rsid w:val="009817F6"/>
    <w:rsid w:val="009841F4"/>
    <w:rsid w:val="009854B1"/>
    <w:rsid w:val="009D49F1"/>
    <w:rsid w:val="009F105A"/>
    <w:rsid w:val="00A177DE"/>
    <w:rsid w:val="00A5428B"/>
    <w:rsid w:val="00A635A7"/>
    <w:rsid w:val="00A6787C"/>
    <w:rsid w:val="00A750FA"/>
    <w:rsid w:val="00A82E68"/>
    <w:rsid w:val="00A9270E"/>
    <w:rsid w:val="00AA6D3E"/>
    <w:rsid w:val="00AF2265"/>
    <w:rsid w:val="00AF2B5A"/>
    <w:rsid w:val="00B01F3E"/>
    <w:rsid w:val="00B20089"/>
    <w:rsid w:val="00B33FA2"/>
    <w:rsid w:val="00B36067"/>
    <w:rsid w:val="00B46DE9"/>
    <w:rsid w:val="00B523D0"/>
    <w:rsid w:val="00B61B7C"/>
    <w:rsid w:val="00B71407"/>
    <w:rsid w:val="00B826C5"/>
    <w:rsid w:val="00B927B3"/>
    <w:rsid w:val="00BD112B"/>
    <w:rsid w:val="00C07593"/>
    <w:rsid w:val="00C113D0"/>
    <w:rsid w:val="00C4774C"/>
    <w:rsid w:val="00C76B80"/>
    <w:rsid w:val="00C90FD5"/>
    <w:rsid w:val="00CA3A77"/>
    <w:rsid w:val="00CB06B9"/>
    <w:rsid w:val="00CE62D9"/>
    <w:rsid w:val="00CF6C0F"/>
    <w:rsid w:val="00D02904"/>
    <w:rsid w:val="00D1474F"/>
    <w:rsid w:val="00D22F27"/>
    <w:rsid w:val="00D253D2"/>
    <w:rsid w:val="00D67A88"/>
    <w:rsid w:val="00D90067"/>
    <w:rsid w:val="00DA203E"/>
    <w:rsid w:val="00DB55DF"/>
    <w:rsid w:val="00DD1999"/>
    <w:rsid w:val="00DF1B4A"/>
    <w:rsid w:val="00E21AE2"/>
    <w:rsid w:val="00E41733"/>
    <w:rsid w:val="00E568B7"/>
    <w:rsid w:val="00E60651"/>
    <w:rsid w:val="00EC14DF"/>
    <w:rsid w:val="00EE06C5"/>
    <w:rsid w:val="00F506E8"/>
    <w:rsid w:val="00F52718"/>
    <w:rsid w:val="00F865BE"/>
    <w:rsid w:val="00F96089"/>
    <w:rsid w:val="00FC38B6"/>
    <w:rsid w:val="00FF05D7"/>
    <w:rsid w:val="00FF2AC0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4726E-DE01-4B42-B208-E79B0BDE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77"/>
  </w:style>
  <w:style w:type="paragraph" w:styleId="Heading1">
    <w:name w:val="heading 1"/>
    <w:basedOn w:val="Normal"/>
    <w:next w:val="Normal"/>
    <w:link w:val="Heading1Char"/>
    <w:uiPriority w:val="9"/>
    <w:qFormat/>
    <w:rsid w:val="00875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514"/>
    <w:pPr>
      <w:ind w:left="720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4C538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5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75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8C"/>
  </w:style>
  <w:style w:type="paragraph" w:styleId="Footer">
    <w:name w:val="footer"/>
    <w:basedOn w:val="Normal"/>
    <w:link w:val="FooterChar"/>
    <w:uiPriority w:val="99"/>
    <w:unhideWhenUsed/>
    <w:rsid w:val="007A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8C"/>
  </w:style>
  <w:style w:type="paragraph" w:styleId="BalloonText">
    <w:name w:val="Balloon Text"/>
    <w:basedOn w:val="Normal"/>
    <w:link w:val="BalloonTextChar"/>
    <w:uiPriority w:val="99"/>
    <w:semiHidden/>
    <w:unhideWhenUsed/>
    <w:rsid w:val="00C4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97"/>
    <w:rsid w:val="009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F9AD1980C14AD6BA246D03E80C205D">
    <w:name w:val="9DF9AD1980C14AD6BA246D03E80C205D"/>
    <w:rsid w:val="00950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F9F3-5B24-462C-B724-9769C762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Keane, Michael, K1MK</dc:creator>
  <cp:lastModifiedBy>Shelley, Barry,  N1VXY</cp:lastModifiedBy>
  <cp:revision>14</cp:revision>
  <cp:lastPrinted>2016-01-14T13:01:00Z</cp:lastPrinted>
  <dcterms:created xsi:type="dcterms:W3CDTF">2015-01-22T19:39:00Z</dcterms:created>
  <dcterms:modified xsi:type="dcterms:W3CDTF">2016-02-02T14:03:00Z</dcterms:modified>
</cp:coreProperties>
</file>